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StrÄndG 4 — Anwendung von Vorschriften der Strafprozessordnung bei Straftaten gegen die Vertragsstaaten des Nordatlantikpaktes</w:t>
      </w:r>
    </w:p>
    <w:p>
      <w:r>
        <w:rPr>
          <w:color w:val="555555"/>
          <w:sz w:val="18"/>
        </w:rPr>
        <w:t xml:space="preserve">NATO-Truppen-Schutzgesetz</w:t>
      </w:r>
    </w:p>
    <w:p>
      <w:r>
        <w:rPr>
          <w:color w:val="555555"/>
          <w:sz w:val="18"/>
        </w:rPr>
        <w:t xml:space="preserve">Stand: 10.06.2019 (konsolidierte Textfassung, kein amtliches Inkrafttretensdatum)</w:t>
      </w:r>
    </w:p>
    <w:p>
      <w:r>
        <w:t xml:space="preserve">(1) Hat ein Strafverfahren Straftaten nach § 1 dieses Gesetzes in Verbindung mit den §§ 94 bis 100, 109f oder 109g des Strafgesetzbuches zum Gegenstand, so gilt § 153d der Strafprozessordnung entsprechend mit der Maßgabe, dass das Absehen von der Verfolgung oder die Einstellung des Verfahrens zulässig ist,</w:t>
      </w:r>
    </w:p>
    <w:p>
      <w:pPr>
        <w:ind w:left="420"/>
      </w:pPr>
      <w:r>
        <w:t xml:space="preserve">1. wenn der Täter nach der Tat, bevor ihm deren Entdeckung bekannt geworden ist, dazu beigetragen hat, eine Gefahr für die Sicherheit der Bundesrepublik Deutschland oder des betroffenen Vertragsstaates abzuwenden, oder wenn er einen solchen Beitrag dadurch geleistet hat, dass er nach der Tat sein mit ihr zusammenhängendes Wissen über verräterische Bestrebungen offenbart hat, oder</w:t>
      </w:r>
    </w:p>
    <w:p>
      <w:pPr>
        <w:ind w:left="420"/>
      </w:pPr>
      <w:r>
        <w:t xml:space="preserve">2. soweit die Durchführung des Verfahrens über die in der Tat selbst liegende Gefährdung hinaus die Sicherheit der Bundesrepublik Deutschland oder des betroffenen Vertragsstaates beeinträchtigen würde.</w:t>
      </w:r>
    </w:p>
    <w:p>
      <w:r>
        <w:t xml:space="preserve">(2) Hat ein Strafverfahren Straftaten nach § 1 dieses Gesetzes in Verbindung mit den §§ 87, 89, 90a, 94 bis 100, 109d oder 109f des Strafgesetzbuches zum Gegenstand, so gelten die §§ 153c und 153d der Strafprozessordnung entsprechend mit der Maßgabe, daß an die Stelle der Gefahr eines schweren Nachteils für die Bundesrepublik Deutschland die Gefahr eines schweren Nachteils für den betroffenen Vertragsstaat oder seine in der Bundesrepublik Deutschland stationierten Truppen treten und überwiegende öffentliche Interessen auch solche des betroffenen Vertragsstaates sind.</w:t>
      </w:r>
    </w:p>
    <w:p>
      <w:r>
        <w:t xml:space="preserve">(3) Bevor von der Erhebung der öffentlichen Klage abgesehen, das Verfahren eingestellt oder die Klage zurückgenommen wird, ist der obersten militärischen Dienststelle der in der Bundesrepublik Deutschland stationierten Truppen des betroffenen Vertragsstaates oder dem Leiter ihrer diplomatischen Vertretung Gelegenheit zur Stellungnahme zu geben.</w:t>
      </w:r>
    </w:p>
    <w:p>
      <w:r>
        <w:rPr>
          <w:color w:val="555555"/>
          <w:sz w:val="17"/>
        </w:rPr>
        <w:t xml:space="preserve">Zitiervorschlag: § 4 StrÄndG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https://recht.nulegal.eu/gesetze/Str%C3%84ndG%204/4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