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StoffBilV — Ordnungswidrigkeiten</w:t>
      </w:r>
    </w:p>
    <w:p>
      <w:r>
        <w:rPr>
          <w:color w:val="555555"/>
          <w:sz w:val="18"/>
        </w:rPr>
        <w:t xml:space="preserve">Stoffstrombilanzverordnung</w:t>
      </w:r>
    </w:p>
    <w:p>
      <w:r>
        <w:rPr>
          <w:color w:val="555555"/>
          <w:sz w:val="18"/>
        </w:rPr>
        <w:t xml:space="preserve">Historische Fassung: Stand 10.06.2019 bis 08.07.2025. Dies ist nicht die aktuelle Fassung.</w:t>
      </w:r>
    </w:p>
    <w:p>
      <w:r>
        <w:t xml:space="preserve">(1) Ordnungswidrig im Sinne des § 14 Absatz 2 Nummer 1 Buchstabe a des Düngegesetzes handelt, wer vorsätzlich oder fahrlässig einer vollziehbaren Anordnung nach § 6 Absatz 5 Satz 1 zuwiderhandelt.</w:t>
      </w:r>
    </w:p>
    <w:p>
      <w:r>
        <w:t xml:space="preserve">(2) Ordnungswidrig im Sinne des § 14 Absatz 2 Nummer 1 Buchstabe c des Düngegesetzes handelt, wer vorsätzlich oder fahrlässig</w:t>
      </w:r>
    </w:p>
    <w:p>
      <w:pPr>
        <w:ind w:left="420"/>
      </w:pPr>
      <w:r>
        <w:t xml:space="preserve">1. entgegen § 7 Absatz 1 eine Aufzeichnung nicht, nicht richtig, nicht vollständig oder nicht rechtzeitig erstellt,</w:t>
      </w:r>
    </w:p>
    <w:p>
      <w:pPr>
        <w:ind w:left="420"/>
      </w:pPr>
      <w:r>
        <w:t xml:space="preserve">2. entgegen § 7 Absatz 2 eine Aufzeichnung oder einen dort genannten Beleg nicht oder nicht mindestens sieben Jahre aufbewahrt oder nicht oder nicht rechtzeitig vorlegt.</w:t>
      </w:r>
    </w:p>
    <w:p>
      <w:r>
        <w:rPr>
          <w:color w:val="555555"/>
          <w:sz w:val="17"/>
        </w:rPr>
        <w:t xml:space="preserve">Zitiervorschlag: § 8 StoffBilV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https://recht.nulegal.eu/gesetze/StoffBilV/8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