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StoffBilV — Aufzeichnungen</w:t>
      </w:r>
    </w:p>
    <w:p>
      <w:r>
        <w:rPr>
          <w:color w:val="555555"/>
          <w:sz w:val="18"/>
        </w:rPr>
        <w:t xml:space="preserve">Stoffstrombilanzverordnung</w:t>
      </w:r>
    </w:p>
    <w:p>
      <w:r>
        <w:rPr>
          <w:color w:val="555555"/>
          <w:sz w:val="18"/>
        </w:rPr>
        <w:t xml:space="preserve">Historische Fassung: Stand 10.06.2019 bis 08.07.2025. Dies ist nicht die aktuelle Fassung.</w:t>
      </w:r>
    </w:p>
    <w:p>
      <w:r>
        <w:t xml:space="preserve">(1) Der Betriebsinhaber hat aufzuzeichnen:</w:t>
      </w:r>
    </w:p>
    <w:p>
      <w:pPr>
        <w:ind w:left="420"/>
      </w:pPr>
      <w:r>
        <w:t xml:space="preserve">1. spätestens drei Monate nach der jeweiligen Zufuhr die nach § 4 Absatz 1 Satz 1 dem Betrieb zugeführten Nährstoffmengen an Stickstoff und Phosphor einschließlich der zu ihrer Ermittlung nach § 4 Absatz 2 Satz 1 angewendeten Verfahren,</w:t>
      </w:r>
    </w:p>
    <w:p>
      <w:pPr>
        <w:ind w:left="420"/>
      </w:pPr>
      <w:r>
        <w:t xml:space="preserve">2. spätestens drei Monate nach der jeweiligen Abgabe die nach § 5 Absatz 1 vom Betrieb abgegebenen Nährstoffmengen an Stickstoff und Phosphor einschließlich der zu ihrer Ermittlung nach § 5 Absatz 2 in Verbindung mit § 4 Absatz 2 Satz 1 und 2 angewendeten Verfahren,</w:t>
      </w:r>
    </w:p>
    <w:p>
      <w:pPr>
        <w:ind w:left="420"/>
      </w:pPr>
      <w:r>
        <w:t xml:space="preserve">3. spätestens sechs Monate nach Ablauf des nach § 3 Absatz 2 Satz 3 festgelegten Bezugsjahres die Ausgangsdaten und Ergebnisse der betrieblichen Stoffstrombilanzen nach § 6 Absatz 1 in Verbindung mit den Anlagen 2 und 3 sowie die Bewertung nach § 6 Absatz 2, im Falle des § 6 Absatz 2 Satz 2 Nummer 2 einschließlich der Bilanzwertermittlungen.</w:t>
      </w:r>
    </w:p>
    <w:p>
      <w:r>
        <w:t xml:space="preserve">(2) Der Betriebsinhaber hat die Aufzeichnungen nach Absatz 1 und die den Aufzeichnungen zugrunde liegenden Belege sieben Jahre nach Ablauf des nach § 3 Absatz 2 Satz 3 festgelegten Bezugsjahres aufzubewahren und der nach Landesrecht zuständigen Stelle auf Verlangen vorzulegen.</w:t>
      </w:r>
    </w:p>
    <w:p>
      <w:r>
        <w:t xml:space="preserve">(3) Den Landesregierungen wird die Befugnis übertragen, durch Rechtsverordnung auf Grund des § 11a Absatz 2 Satz 4 bis 6 des Düngegesetzes Regelungen über Vorlage-, Melde- oder Mitteilungspflichten im Zusammenhang mit den Stoffstrombilanzen nach § 6, den Aufzeichnungen und den ihnen zugrunde liegenden Belegen nach den Absätzen 1 und 2 sowie über die Form der genannten Aufzeichnungen und Stoffstrombilanzen zu erlassen, soweit dies zur Überwachung der Einhaltung der Anforderungen nach dieser Verordnung erforderlich ist.</w:t>
      </w:r>
    </w:p>
    <w:p>
      <w:r>
        <w:rPr>
          <w:color w:val="555555"/>
          <w:sz w:val="17"/>
        </w:rPr>
        <w:t xml:space="preserve">Zitiervorschlag: § 7 StoffBilV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https://recht.nulegal.eu/gesetze/StoffBilV/7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