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StoffBilV — Ermittlung der dem Betrieb zugeführten Nährstoffmengen an Stickstoff und Phosphor</w:t>
      </w:r>
    </w:p>
    <w:p>
      <w:r>
        <w:rPr>
          <w:color w:val="555555"/>
          <w:sz w:val="18"/>
        </w:rPr>
        <w:t xml:space="preserve">Stoffstrombilanzverordnung</w:t>
      </w:r>
    </w:p>
    <w:p>
      <w:r>
        <w:rPr>
          <w:color w:val="555555"/>
          <w:sz w:val="18"/>
        </w:rPr>
        <w:t xml:space="preserve">Historische Fassung: Stand 10.06.2019 bis 08.07.2025. Dies ist nicht die aktuelle Fassung.</w:t>
      </w:r>
    </w:p>
    <w:p>
      <w:r>
        <w:t xml:space="preserve">(1) Der Betriebsinhaber hat die dem Betrieb durch Stoffe nach § 2 Nummer 1 und 6 bis 8 des Düngegesetzes, Futtermittel, Saatgut einschließlich Pflanzgut und Vermehrungsmaterial, landwirtschaftliche Nutztiere, Leguminosen sowie sonstige Stoffe zugeführten Nährstoffmengen an Stickstoff und Phosphor</w:t>
      </w:r>
    </w:p>
    <w:p>
      <w:pPr>
        <w:ind w:left="420"/>
      </w:pPr>
      <w:r>
        <w:t xml:space="preserve">1. auf der Grundlage von Belegen, insbesondere Lieferscheinen oder Rechnungen, für die jeweilige Zufuhr und</w:t>
      </w:r>
    </w:p>
    <w:p>
      <w:pPr>
        <w:ind w:left="420"/>
      </w:pPr>
      <w:r>
        <w:t xml:space="preserve">2. unter Heranziehung des jeweiligen Gehaltes an Stickstoff und Phosphor dieser Stoffe und Nutztiere</w:t>
      </w:r>
    </w:p>
    <w:p>
      <w:r>
        <w:t xml:space="preserve">zu ermitteln. Die Nährstoffzufuhr durch Saatgut einschließlich Pflanzgut und Vermehrungsmaterial ist nur für Getreide, Mais, Kartoffeln und Körnerleguminosen zu ermitteln.</w:t>
      </w:r>
    </w:p>
    <w:p>
      <w:r>
        <w:t xml:space="preserve">(2) Die Gehalte an Stickstoff und Phosphor sind vom Betriebsinhaber zu ermitteln</w:t>
      </w:r>
    </w:p>
    <w:p>
      <w:pPr>
        <w:ind w:left="420"/>
      </w:pPr>
      <w:r>
        <w:t xml:space="preserve">1. auf Grund vorgeschriebener Kennzeichnung,</w:t>
      </w:r>
    </w:p>
    <w:p>
      <w:pPr>
        <w:ind w:left="420"/>
      </w:pPr>
      <w:r>
        <w:t xml:space="preserve">2. auf der Grundlage wissenschaftlich anerkannter Messmethoden oder</w:t>
      </w:r>
    </w:p>
    <w:p>
      <w:pPr>
        <w:ind w:left="420"/>
      </w:pPr>
      <w:r>
        <w:t xml:space="preserve">3. auf der Grundlage von Daten der nach Landesrecht zuständigen Stelle.</w:t>
      </w:r>
    </w:p>
    <w:p>
      <w:r>
        <w:t xml:space="preserve">Soweit Kennzeichnungen nach Satz 1 Nummer 1 oder Messergebnisse auf der Grundlage von Satz 1 Nummer 2 vorliegen, sind diese für die Ermittlung der Gehalte heranzuziehen. Bei der Ermittlung der Gehalte nach Satz 1 Nummer 3 sind mindestens die Werte nach Anlage 1 dieser Verordnung zu berücksichtigen. Im Falle von Stoffen oder Tierarten, die nicht von Anlage 1 erfasst sind, sind die von der nach Landesrecht zuständigen Stelle herausgegebenen Werte für die Gehalte an Stickstoff, Phosphor oder Phosphat heranzuziehen.</w:t>
      </w:r>
    </w:p>
    <w:p>
      <w:r>
        <w:rPr>
          <w:color w:val="555555"/>
          <w:sz w:val="17"/>
        </w:rPr>
        <w:t xml:space="preserve">Zitiervorschlag: § 4 StoffBilV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https://recht.nulegal.eu/gesetze/StoffBilV/4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