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StoffBilV — Geltungsbereich</w:t>
      </w:r>
    </w:p>
    <w:p>
      <w:r>
        <w:rPr>
          <w:color w:val="555555"/>
          <w:sz w:val="18"/>
        </w:rPr>
        <w:t xml:space="preserve">Stoffstrombilanzverordnung</w:t>
      </w:r>
    </w:p>
    <w:p>
      <w:r>
        <w:rPr>
          <w:color w:val="555555"/>
          <w:sz w:val="18"/>
        </w:rPr>
        <w:t xml:space="preserve">Historische Fassung: Stand 10.06.2019 bis 08.07.2025. Dies ist nicht die aktuelle Fassung.</w:t>
      </w:r>
    </w:p>
    <w:p>
      <w:r>
        <w:t xml:space="preserve">(1) Diese Verordnung regelt zur näheren Bestimmung der Anforderungen an die gute fachliche Praxis beim Umgang mit Nährstoffen im Sinne des § 11a Absatz 1 des Düngegesetzes die näheren Vorschriften über die nach § 11a Absatz 2 des Düngegesetzes zu erstellende betriebliche Stoffstrombilanz.</w:t>
      </w:r>
    </w:p>
    <w:p>
      <w:r>
        <w:t xml:space="preserve">(2) Diese Verordnung gilt für</w:t>
      </w:r>
    </w:p>
    <w:p>
      <w:pPr>
        <w:ind w:left="420"/>
      </w:pPr>
      <w:r>
        <w:t xml:space="preserve">1. Betriebe mit mehr als 50 Großvieheinheiten je Betrieb oder mit mehr als 30 Hektar landwirtschaftlicher Nutzfläche bei einer Tierbesatzdichte von jeweils mehr als 2,5 Großvieheinheiten je Hektar,</w:t>
      </w:r>
    </w:p>
    <w:p>
      <w:pPr>
        <w:ind w:left="420"/>
      </w:pPr>
      <w:r>
        <w:t xml:space="preserve">2. viehhaltende Betriebe, die die in Nummer 1 festgesetzten Schwellenwerte unterschreiten, wenn dem Betrieb im jeweiligen Bezugsjahr nach § 3 Absatz 2 Satz 3 außerhalb des Betriebs anfallender Wirtschaftsdünger zugeführt wird, und</w:t>
      </w:r>
    </w:p>
    <w:p>
      <w:pPr>
        <w:ind w:left="420"/>
      </w:pPr>
      <w:r>
        <w:t xml:space="preserve">3. Betriebe, die eine Biogasanlage unterhalten und mit einem viehhaltenden Betrieb nach Nummer 1 oder Nummer 2 in einem funktionalen Zusammenhang stehen, wenn dem Betrieb im jeweiligen Bezugsjahr nach § 3 Absatz 2 Satz 3 Wirtschaftsdünger aus diesem Betrieb oder sonst außerhalb des Betriebs anfallender Wirtschaftsdünger zugeführt wird.</w:t>
      </w:r>
    </w:p>
    <w:p>
      <w:r>
        <w:t xml:space="preserve">(3) Ab dem 1. Januar 2023 gilt diese Verordnung auch für</w:t>
      </w:r>
    </w:p>
    <w:p>
      <w:pPr>
        <w:ind w:left="420"/>
      </w:pPr>
      <w:r>
        <w:t xml:space="preserve">1. Betriebe mit mehr als 20 Hektar landwirtschaftlicher Nutzfläche oder mehr als 50 Großvieheinheiten je Betrieb,</w:t>
      </w:r>
    </w:p>
    <w:p>
      <w:pPr>
        <w:ind w:left="420"/>
      </w:pPr>
      <w:r>
        <w:t xml:space="preserve">2. Betriebe, die die in Nummer 1 festgesetzten Schwellenwerte unterschreiten, wenn dem Betrieb im jeweiligen Bezugsjahr nach § 3 Absatz 2 Satz 3 außerhalb des Betriebs anfallender Wirtschaftsdünger zugeführt wird, und</w:t>
      </w:r>
    </w:p>
    <w:p>
      <w:pPr>
        <w:ind w:left="420"/>
      </w:pPr>
      <w:r>
        <w:t xml:space="preserve">3. Betriebe, die eine Biogasanlage unterhalten und mit einem Betrieb nach Nummer 1 oder Nummer 2 in einem funktionalen Zusammenhang stehen, wenn dem Betrieb im jeweiligen Bezugsjahr nach § 3 Absatz 2 Satz 3 Wirtschaftsdünger aus diesem Betrieb oder sonst außerhalb des Betriebs anfallender Wirtschaftsdünger zugeführt wird.</w:t>
      </w:r>
    </w:p>
    <w:p>
      <w:r>
        <w:rPr>
          <w:color w:val="555555"/>
          <w:sz w:val="17"/>
        </w:rPr>
        <w:t xml:space="preserve">Zitiervorschlag: § 1 StoffBilV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https://recht.nulegal.eu/gesetze/StoffBilV/1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