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StmStbMstrV 2008 — Gliederung, Prüfungsdauer und Bestehen des Teils II</w:t>
      </w:r>
    </w:p>
    <w:p>
      <w:r>
        <w:rPr>
          <w:color w:val="555555"/>
          <w:sz w:val="18"/>
        </w:rPr>
        <w:t xml:space="preserve">Steinmetz- und Steinbildhauermeisterverordnung</w:t>
      </w:r>
    </w:p>
    <w:p>
      <w:r>
        <w:rPr>
          <w:color w:val="555555"/>
          <w:sz w:val="18"/>
        </w:rPr>
        <w:t xml:space="preserve">Stand: 10.06.2019 (konsolidierte Textfassung, kein amtliches Inkrafttretensdatum)</w:t>
      </w:r>
    </w:p>
    <w:p>
      <w:r>
        <w:t xml:space="preserve">(1) Durch die Prüfung in Teil II soll der Prüfling in den in Absatz 2 Nr. 1 bis 3 genannten Handlungsfeldern seine Handlungskompetenz dadurch nachweisen, dass er berufsbezogene Probleme analysiert und bewertet sowie Lösungswege aufzeigt und dokumentiert und dabei aktuelle Entwicklungen berücksichtigt.</w:t>
      </w:r>
    </w:p>
    <w:p>
      <w:r>
        <w:t xml:space="preserve">(2) In jedem der folgenden Handlungsfelder ist mindestens eine Aufgabe zu bearbeiten, die fallorientiert sein muss:</w:t>
      </w:r>
    </w:p>
    <w:p>
      <w:pPr>
        <w:ind w:left="420"/>
      </w:pPr>
      <w:r>
        <w:t xml:space="preserve">1. Natursteintechnik und -gestaltung Der Prüfling soll nachweisen, dass er in der Lage ist, natursteinbezogene Aufgaben unter Berücksichtigung gestalterischer, wirtschaftlicher und ökologischer Aspekte in einem Steinmetz- und Steinbildhauerbetrieb zu bearbeiten. Dabei soll er berufsbezogene Sachverhalte analysieren und bewerten. Bei der jeweiligen Aufgabenstellung sollen mehrere der unter den Buchstaben a bis h aufgeführten Qualifikationen verknüpft werden:</w:t>
      </w:r>
    </w:p>
    <w:p>
      <w:pPr>
        <w:ind w:left="780"/>
      </w:pPr>
      <w:r>
        <w:t xml:space="preserve">a) Entwürfe von Natur- und Kunststeinerzeugnissen unter besonderer Berücksichtigung der Fundamentierungs- und Fügetechniken, statischer, stilkundlicher, heraldischer und kunstgeschichtlicher Aspekte, der historischen und zeitgemäßen Schrift- und Farbgestaltung sowie der Ornamentik erarbeiten, bewerten und korrigieren,</w:t>
      </w:r>
    </w:p>
    <w:p>
      <w:pPr>
        <w:ind w:left="780"/>
      </w:pPr>
      <w:r>
        <w:t xml:space="preserve">b) Skizzen, Zeichnungen, Konstruktionsunterlagen, Stücklisten, Verlege- und Versetzpläne erstellen, bewerten und korrigieren,</w:t>
      </w:r>
    </w:p>
    <w:p>
      <w:pPr>
        <w:ind w:left="780"/>
      </w:pPr>
      <w:r>
        <w:t xml:space="preserve">c) Arten und Eigenschaften von Werk-, Hilfs- und Betriebsstoffen sowie historischen Baustoffen, insbesondere nach gesteinskundlichen, bauphysikalischen und bauchemischen Kriterien beurteilen, Verwendungszwecken zuordnen und Zuordnung begründen,</w:t>
      </w:r>
    </w:p>
    <w:p>
      <w:pPr>
        <w:ind w:left="780"/>
      </w:pPr>
      <w:r>
        <w:t xml:space="preserve">d) Methoden der Konstruktion, Fertigung, Restaurierung, Hydrophobierung, Reinigung, Konservierung, Verfestigung und des Versetzens von Werkstücken und Bauteilen aus Naturstein und künstlichem Stein unter Berücksichtigung historischer und zeitgemäßer Techniken bestimmen und begründen,</w:t>
      </w:r>
    </w:p>
    <w:p>
      <w:pPr>
        <w:ind w:left="780"/>
      </w:pPr>
      <w:r>
        <w:t xml:space="preserve">e) Standsicherheit, insbesondere für Grabmalanlagen, planen, bemessen und beurteilen,</w:t>
      </w:r>
    </w:p>
    <w:p>
      <w:pPr>
        <w:ind w:left="780"/>
      </w:pPr>
      <w:r>
        <w:t xml:space="preserve">f) Naturwerksteinkonstruktionen planen, bewerten und korrigieren sowie Bekleidungen und Beläge aus natürlichen und künstlichen Steinen entwerfen und berechnen,</w:t>
      </w:r>
    </w:p>
    <w:p>
      <w:pPr>
        <w:ind w:left="780"/>
      </w:pPr>
      <w:r>
        <w:t xml:space="preserve">g) Montagetechniken einschließlich Fügeverfahren zur Verbindung von Natur- und Kunststeinerzeugnissen beschreiben, Verwendungszwecken zuordnen und Zuordnung begründen,</w:t>
      </w:r>
    </w:p>
    <w:p>
      <w:pPr>
        <w:ind w:left="780"/>
      </w:pPr>
      <w:r>
        <w:t xml:space="preserve">h) Verfahren zur Oberflächenbehandlung sowie Konservierung von natürlichen und künstlichen Steinen beschreiben und Verwendungszwecken zuordnen;</w:t>
      </w:r>
    </w:p>
    <w:p>
      <w:pPr>
        <w:ind w:left="420"/>
      </w:pPr>
      <w:r>
        <w:t xml:space="preserve">2. Auftragsabwicklung 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den Buchstaben a bis i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Konstruktions-, Fertigungs-, Verlege- und Montagetechniken, gestalterischer Aspekte sowie des Einsatzes von Personal, Material und Geräten bewerten, dabei qualitätssichernde Aspekte darstellen sowie Schnittstellen zwischen Arbeitsbereichen berücksichtigen,</w:t>
      </w:r>
    </w:p>
    <w:p>
      <w:pPr>
        <w:ind w:left="780"/>
      </w:pPr>
      <w:r>
        <w:t xml:space="preserve">d) berufsbezogene rechtliche Vorschriften und technische Normen sowie anerkannte Regeln der Technik anwenden, insbesondere Haftung bei der Fertigung und Instandhaltung beurteilen,</w:t>
      </w:r>
    </w:p>
    <w:p>
      <w:pPr>
        <w:ind w:left="780"/>
      </w:pPr>
      <w:r>
        <w:t xml:space="preserve">e) Arbeitspläne erstellen sowie vorgegebene Arbeitspläne bewerten und korrigieren,</w:t>
      </w:r>
    </w:p>
    <w:p>
      <w:pPr>
        <w:ind w:left="780"/>
      </w:pPr>
      <w:r>
        <w:t xml:space="preserve">f) auftragsbezogenen Einsatz von Material, Werkstoffen, Maschinen und Geräten bestimmen und begründen,</w:t>
      </w:r>
    </w:p>
    <w:p>
      <w:pPr>
        <w:ind w:left="780"/>
      </w:pPr>
      <w:r>
        <w:t xml:space="preserve">g) Unteraufträge vergeben und kontrollieren,</w:t>
      </w:r>
    </w:p>
    <w:p>
      <w:pPr>
        <w:ind w:left="780"/>
      </w:pPr>
      <w:r>
        <w:t xml:space="preserve">h) Schadensaufnahme an Werkstücken und Bauwerken darstellen, Instandsetzungsmethoden vorschlagen, die erforderliche Abwicklung festlegen und begründen,</w:t>
      </w:r>
    </w:p>
    <w:p>
      <w:pPr>
        <w:ind w:left="780"/>
      </w:pPr>
      <w:r>
        <w:t xml:space="preserve">i) Mengen ermitteln und berechnen, Nachkalkulation durchführen;</w:t>
      </w:r>
    </w:p>
    <w:p>
      <w:pPr>
        <w:ind w:left="420"/>
      </w:pPr>
      <w:r>
        <w:t xml:space="preserve">3. Betriebsführung und Betriebsorganisation 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den Buchstaben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personalwirtschaftliche Aufgaben darstellen; den Zusammenhang zwischen Personalverwaltung sowie Personalführung und -entwicklung aufzeigen,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(3) Die Prüfung in Teil II ist schriftlich durchzuführen. Sie soll in jedem Handlungsfeld nicht länger als drei Stunden dauern. Eine Prüfungsdauer von sechs Stunden täglich darf nicht überschritten werden.</w:t>
      </w:r>
    </w:p>
    <w:p>
      <w:r>
        <w:t xml:space="preserve">(4) Die Gesamtbewertung des Teils II wird aus dem arithmetischen Mittel der Einzelbewertungen der Handlungsfelder nach Absatz 2 gebildet.</w:t>
      </w:r>
    </w:p>
    <w:p>
      <w:r>
        <w:t xml:space="preserve">(5)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StmStbMstrV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https://recht.nulegal.eu/gesetze/StmStbMstrV%202008/8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