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StmStbMstrV 2008 — Situationsaufgabe</w:t>
      </w:r>
    </w:p>
    <w:p>
      <w:r>
        <w:rPr>
          <w:color w:val="555555"/>
          <w:sz w:val="18"/>
        </w:rPr>
        <w:t xml:space="preserve">Steinmetz- und Steinbildhauermeisterverordnung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Situationsaufgabe ist auftragsorientiert und vervollständigt den Qualifikationsnachweis für die Meisterprüfung im Steinmetz- und Steinbildhauer-Handwerk.</w:t>
      </w:r>
    </w:p>
    <w:p>
      <w:r>
        <w:t xml:space="preserve">(2) Als Situationsaufgabe ist eine der unter Nummer 1 bis 5 aufgeführten Arbeiten auszuführen. Wenn der Prüfling das Meisterprüfungsprojekt nach § 4 Abs. 3 Nr. 1 durchgeführt hat, ist eine Arbeit nach Nummer 1, 2 oder 5, wenn er das Meisterprüfungsprojekt nach § 4 Abs. 3 Nr. 2 durchgeführt hat, ist eine Arbeit nach Nummer 1, 2, 3 oder 4 auszuführen. Die Aufgabenstellung erfolgt durch den Meisterprüfungsausschuss. Als Arbeiten kommen in Betracht:</w:t>
      </w:r>
    </w:p>
    <w:p>
      <w:pPr>
        <w:ind w:left="420"/>
      </w:pPr>
      <w:r>
        <w:t xml:space="preserve">1. eine Schriftarbeit mit Symbolen oder Ornamenten entwerfen und herstellen,</w:t>
      </w:r>
    </w:p>
    <w:p>
      <w:pPr>
        <w:ind w:left="420"/>
      </w:pPr>
      <w:r>
        <w:t xml:space="preserve">2. eine beschädigte Steinmetz- oder Steinbildhauerarbeit mit Vierungen und Antragsmaterialien ergänzen,</w:t>
      </w:r>
    </w:p>
    <w:p>
      <w:pPr>
        <w:ind w:left="420"/>
      </w:pPr>
      <w:r>
        <w:t xml:space="preserve">3. eine Profilarbeit mit Wiederkehr und Totlauf herstellen,</w:t>
      </w:r>
    </w:p>
    <w:p>
      <w:pPr>
        <w:ind w:left="420"/>
      </w:pPr>
      <w:r>
        <w:t xml:space="preserve">4. Beläge in Sonderformen verlegen oder versetzen,</w:t>
      </w:r>
    </w:p>
    <w:p>
      <w:pPr>
        <w:ind w:left="420"/>
      </w:pPr>
      <w:r>
        <w:t xml:space="preserve">5. eine Bildhauerarbeit als Relief oder Vollplastik herstellen.</w:t>
      </w:r>
    </w:p>
    <w:p>
      <w:r>
        <w:rPr>
          <w:color w:val="555555"/>
          <w:sz w:val="17"/>
        </w:rPr>
        <w:t xml:space="preserve">Zitiervorschlag: § 6 StmStbMstrV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https://recht.nulegal.eu/gesetze/StmStbMstrV%202008/6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