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StmStbMstrV 2008 — Meisterprüfungsprojekt</w:t>
      </w:r>
    </w:p>
    <w:p>
      <w:r>
        <w:rPr>
          <w:color w:val="555555"/>
          <w:sz w:val="18"/>
        </w:rPr>
        <w:t xml:space="preserve">Steinmetz- und Steinbildhauermeisterverordnung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Steinmetzarbeit nach Nummer 1 oder eine Steinbildhauerarbeit nach Nummer 2 zu entwerfen, zu planen und zu kalkulieren. Auf dieser Grundlage ist</w:t>
      </w:r>
    </w:p>
    <w:p>
      <w:pPr>
        <w:ind w:left="420"/>
      </w:pPr>
      <w:r>
        <w:t xml:space="preserve">1. als Steinmetzarbeitein profiliertes oberflächenbearbeitetes Werkstück oder ein Bauteil aus Naturstein manuell oder maschinengestützt herzustellenoderein mehrteiliges profiliertes historisches Bauteil unter Beachtung der Oberflächenanforderungen zu restaurieren oder zu rekonstruierenoderein Belag aus Naturstein oder künstlichem Stein unter konstruktiven und gestalterischen Anforderungen herzustellen und zu verlegen;</w:t>
      </w:r>
    </w:p>
    <w:p>
      <w:pPr>
        <w:ind w:left="420"/>
      </w:pPr>
      <w:r>
        <w:t xml:space="preserve">2. als Steinbildhauerarbeitein Bildhauerstück manuell oder maschinengestützt herzustellen, zu restaurieren oder zu rekonstruieren.</w:t>
      </w:r>
    </w:p>
    <w:p>
      <w:r>
        <w:t xml:space="preserve">Die durchgeführten Arbeiten sind zu dokumentieren.</w:t>
      </w:r>
    </w:p>
    <w:p>
      <w:r>
        <w:t xml:space="preserve">(4) Die Entwurfs-, Planungs-, Kalkulations- und Dokumentationsarbeiten werden mit 40 Prozent, die Durchführungsarbeiten mit 60 Prozent gewichtet.</w:t>
      </w:r>
    </w:p>
    <w:p>
      <w:r>
        <w:rPr>
          <w:color w:val="555555"/>
          <w:sz w:val="17"/>
        </w:rPr>
        <w:t xml:space="preserve">Zitiervorschlag: § 4 StmStbMstrV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https://recht.nulegal.eu/gesetze/StmStbMstrV%202008/4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