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StmStbMstrV 2008 — Gliederung des Teils I</w:t>
      </w:r>
    </w:p>
    <w:p>
      <w:r>
        <w:rPr>
          <w:color w:val="555555"/>
          <w:sz w:val="18"/>
        </w:rPr>
        <w:t xml:space="preserve">Steinmetz- und Steinbildhauermeisterverordnung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StmStbMstrV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https://recht.nulegal.eu/gesetze/StmStbMstrV%202008/3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