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StmStbMstrV 2008 — Meisterprüfungsberufsbild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selbständig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Steinmetz- und Steinbildhauer-Handwerk sind zum Zwecke der Meisterprüfung folgende Fertigkeiten und Kenntnisse als ganzheitliche Qualifikationen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der Haftungsvorschriften des Arbeitsschutzrechtes, des Datenschutzes, des Umweltschutzes sowie von Informations- und Kommunikationstechniken,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von Konstruktions-, Fertigungs-, Verlege- und Montagetechniken, gestalterischen Aspekten, berufsbezogenen rechtlichen Vorschriften und technischen Normen sowie der allgemein anerkannten Regeln der Technik, Personal, Material, Maschinen und Geräten sowie von Möglichkeiten zum Einsatz von Auszubildenden,</w:t>
      </w:r>
    </w:p>
    <w:p>
      <w:pPr>
        <w:ind w:left="420"/>
      </w:pPr>
      <w:r>
        <w:t xml:space="preserve">5. technische Arbeitspläne und technische Zeichnungen, auch unter Einsatz von rechnergestützten Systemen, erstellen sowie Arbeitsprozesse überwachen,</w:t>
      </w:r>
    </w:p>
    <w:p>
      <w:pPr>
        <w:ind w:left="420"/>
      </w:pPr>
      <w:r>
        <w:t xml:space="preserve">6. Skizzen, Entwürfe und Modelle unter Berücksichtigung kreativer Gestaltungsaspekte, insbesondere von Freihandzeichnen und Schriftgestaltung, erstellen,</w:t>
      </w:r>
    </w:p>
    <w:p>
      <w:pPr>
        <w:ind w:left="420"/>
      </w:pPr>
      <w:r>
        <w:t xml:space="preserve">7. Werksteine, Bekleidungen und Beläge aus natürlichen und künstlichen Steinen für den Innen- und Außenbereich entwerfen, herstellen, verlegen, ansetzen und versetzen,</w:t>
      </w:r>
    </w:p>
    <w:p>
      <w:pPr>
        <w:ind w:left="420"/>
      </w:pPr>
      <w:r>
        <w:t xml:space="preserve">8. manuelle, maschinelle und programmgesteuerte Be- und Verarbeitungsverfahren sowie Füge- und Trennverfahren beherrschen,</w:t>
      </w:r>
    </w:p>
    <w:p>
      <w:pPr>
        <w:ind w:left="420"/>
      </w:pPr>
      <w:r>
        <w:t xml:space="preserve">9. Arten und Eigenschaften zu verarbeitender Werkstoffe einschließlich der Verfahren zur Oberflächenbehandlung und Konservierung von natürlichen und künstlichen Steinen bei der Planung und Fertigung berücksichtigen,</w:t>
      </w:r>
    </w:p>
    <w:p>
      <w:pPr>
        <w:ind w:left="420"/>
      </w:pPr>
      <w:r>
        <w:t xml:space="preserve">10. Werkstücke und Bauteile, insbesondere Grabmalanlagen und Denkmäler, auch unter Berücksichtigung von Schriften, Ornamenten, Zeichen und Symbolen, entwerfen, herstellen, aufstellen und versetzen,</w:t>
      </w:r>
    </w:p>
    <w:p>
      <w:pPr>
        <w:ind w:left="420"/>
      </w:pPr>
      <w:r>
        <w:t xml:space="preserve">11. Bildhauerarbeiten entwerfen, ausführen und unter Beachtung denkmalpflegerischer Auflagen sowie historischer Vorgaben restaurieren und rekonstruieren; Modelle und Formen herstellen,</w:t>
      </w:r>
    </w:p>
    <w:p>
      <w:pPr>
        <w:ind w:left="420"/>
      </w:pPr>
      <w:r>
        <w:t xml:space="preserve">12. Restaurierungs-, Renovierungs- und Rekonstruktionsarbeiten unter Berücksichtigung von stilkundlichen, heraldischen und kunstgeschichtlichen Aspekten sowie der historischen und zeitgemäßen Formensprache festlegen und ausführen sowie Reinigungs-, Imprägnierungs- und Konservierungsalternativen bestimmen und begründen,</w:t>
      </w:r>
    </w:p>
    <w:p>
      <w:pPr>
        <w:ind w:left="420"/>
      </w:pPr>
      <w:r>
        <w:t xml:space="preserve">13. Logistikkonzepte entwickeln und umsetzen,</w:t>
      </w:r>
    </w:p>
    <w:p>
      <w:pPr>
        <w:ind w:left="420"/>
      </w:pPr>
      <w:r>
        <w:t xml:space="preserve">14. Fehler- und Schadenssuche durchführen, Maßnahmen zur Beseitigung von Fehlern und Schäden beherrschen, Ergebnisse bewerten und dokumentieren,</w:t>
      </w:r>
    </w:p>
    <w:p>
      <w:pPr>
        <w:ind w:left="420"/>
      </w:pPr>
      <w:r>
        <w:t xml:space="preserve">15. Leistungen abnehmen und dokumentieren sowie Nachkalkulation durchführen.</w:t>
      </w:r>
    </w:p>
    <w:p>
      <w:r>
        <w:rPr>
          <w:color w:val="555555"/>
          <w:sz w:val="17"/>
        </w:rPr>
        <w:t xml:space="preserve">Zitiervorschlag: § 2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