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StmStbMstrV 2008 — Inkrafttreten, Außerkrafttreten</w:t>
      </w:r>
    </w:p>
    <w:p>
      <w:r>
        <w:rPr>
          <w:color w:val="555555"/>
          <w:sz w:val="18"/>
        </w:rPr>
        <w:t xml:space="preserve">Steinmetz- und Steinbildhauermeisterverordnung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Oktober 2008 in Kraft.</w:t>
      </w:r>
    </w:p>
    <w:p>
      <w:r>
        <w:rPr>
          <w:color w:val="555555"/>
          <w:sz w:val="17"/>
        </w:rPr>
        <w:t xml:space="preserve">Zitiervorschlag: § 11 StmStbMstrV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https://recht.nulegal.eu/gesetze/StmStbMstrV%202008/11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