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StmStbAusbV — Inkrafttreten, Außerkrafttreten</w:t>
      </w:r>
    </w:p>
    <w:p>
      <w:r>
        <w:rPr>
          <w:color w:val="555555"/>
          <w:sz w:val="18"/>
        </w:rPr>
        <w:t xml:space="preserve">Steinmetz- und Steinbildhauerausbildungsverordnung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August 2018 in Kraft. Gleichzeitig tritt die Verordnung über die Berufsausbildung zum Steinmetz und Steinbildhauer/zur Steinmetzin und Steinbildhauerin vom 9. Mai 2003 (BGBl. I S. 690; 2004 I S. 2601) außer Kraft.</w:t>
      </w:r>
    </w:p>
    <w:p>
      <w:r>
        <w:rPr>
          <w:color w:val="555555"/>
          <w:sz w:val="17"/>
        </w:rPr>
        <w:t xml:space="preserve">Zitiervorschlag: § 27 StmStbAusbV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https://recht.nulegal.eu/gesetze/StmStbAusbV/27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