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StipHV — Jährliche Höchstgrenze</w:t>
      </w:r>
    </w:p>
    <w:p>
      <w:r>
        <w:rPr>
          <w:color w:val="555555"/>
          <w:sz w:val="18"/>
        </w:rPr>
        <w:t xml:space="preserve">Stipendienprogramm-Höchstgrenzen-Verordnung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Höchstgrenze gemäß § 11 Absatz 4 des Stipendienprogramm-Gesetzes beträgt</w:t>
      </w:r>
    </w:p>
    <w:p>
      <w:pPr>
        <w:ind w:left="420"/>
      </w:pPr>
      <w:r>
        <w:t xml:space="preserve">1. für das Jahr 2012 bis einschließlich 31. Juli 2013 1 Prozent der Studierenden einer Hochschule,</w:t>
      </w:r>
    </w:p>
    <w:p>
      <w:pPr>
        <w:ind w:left="420"/>
      </w:pPr>
      <w:r>
        <w:t xml:space="preserve">2. ab dem 1. August 2013 1,5 Prozent der Studierenden einer Hochschule.</w:t>
      </w:r>
    </w:p>
    <w:p>
      <w:r>
        <w:rPr>
          <w:color w:val="555555"/>
          <w:sz w:val="17"/>
        </w:rPr>
        <w:t xml:space="preserve">Zitiervorschlag: § 1 StipHV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https://recht.nulegal.eu/gesetze/StipHV/1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