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StipGDV — Auswahlkriterien</w:t>
      </w:r>
    </w:p>
    <w:p>
      <w:r>
        <w:rPr>
          <w:color w:val="555555"/>
          <w:sz w:val="18"/>
        </w:rPr>
        <w:t xml:space="preserve">Stipendienprogramm-Verordnung</w:t>
      </w:r>
    </w:p>
    <w:p>
      <w:r>
        <w:rPr>
          <w:color w:val="555555"/>
          <w:sz w:val="18"/>
        </w:rPr>
        <w:t xml:space="preserve">Stand: 10.06.2019 (konsolidierte Textfassung, kein amtliches Inkrafttretensdatum)</w:t>
      </w:r>
    </w:p>
    <w:p>
      <w:r>
        <w:t xml:space="preserve">(1) Leistung und Begabung im Sinne des § 3 Satz 1 des Gesetzes können insbesondere wie folgt nachgewiesen werden:</w:t>
      </w:r>
    </w:p>
    <w:p>
      <w:pPr>
        <w:ind w:left="420"/>
      </w:pPr>
      <w:r>
        <w:t xml:space="preserve">1. für Studienanfängerinnen und Studienanfänger durch</w:t>
      </w:r>
    </w:p>
    <w:p>
      <w:pPr>
        <w:ind w:left="780"/>
      </w:pPr>
      <w:r>
        <w:t xml:space="preserve">a) die Durchschnittsnote der Hochschulzugangsberechtigung unter besonderer Berücksichtigung der für das gewählte Studienfach relevanten Einzelnoten oder</w:t>
      </w:r>
    </w:p>
    <w:p>
      <w:pPr>
        <w:ind w:left="780"/>
      </w:pPr>
      <w:r>
        <w:t xml:space="preserve">b) die besondere Qualifikation, die zum Studium an dieser Hochschule berechtigt,</w:t>
      </w:r>
    </w:p>
    <w:p>
      <w:pPr>
        <w:ind w:left="420"/>
      </w:pPr>
      <w:r>
        <w:t xml:space="preserve">2. für bereits immatrikulierte Studierende durch die bisher erbrachten Studienleistungen, insbesondere die erreichten ECTS-Punkte oder Ergebnisse einer Zwischenprüfung oder eines Vordiploms, für Studierende eines Master-Studiengangs auch die Abschlussnote des vorausgegangenen Studiums,</w:t>
      </w:r>
    </w:p>
    <w:p>
      <w:r>
        <w:t xml:space="preserve">(2) Bei der Gesamtbetrachtung des Potenzials der Bewerberin oder des Bewerbers sollen außerdem insbesondere berücksichtigt werden</w:t>
      </w:r>
    </w:p>
    <w:p>
      <w:pPr>
        <w:ind w:left="420"/>
      </w:pPr>
      <w:r>
        <w:t xml:space="preserve">1. besondere Erfolge, Auszeichnungen und Preise, eine vorangegangene Berufstätigkeit und Praktika,</w:t>
      </w:r>
    </w:p>
    <w:p>
      <w:pPr>
        <w:ind w:left="420"/>
      </w:pPr>
      <w:r>
        <w:t xml:space="preserve">2. außerschulisches oder außerfachliches Engagement wie eine ehrenamtliche Tätigkeit, gesellschaftliches, soziales, hochschulpolitisches oder politisches Engagement oder die Mitwirkung in Religionsgesellschaften, Verbänden oder Vereinen,</w:t>
      </w:r>
    </w:p>
    <w:p>
      <w:pPr>
        <w:ind w:left="420"/>
      </w:pPr>
      <w:r>
        <w:t xml:space="preserve">3. besondere persönliche oder familiäre Umstände wie Krankheiten und Behinderungen, die Betreuung eigener Kinder, insbesondere als alleinerziehendes Elternteil, oder pflegebedürftiger naher Angehöriger, die Mitarbeit im familiären Betrieb, studienbegleitende Erwerbstätigkeiten, familiäre Herkunft oder ein Migrationshintergrund.</w:t>
      </w:r>
    </w:p>
    <w:p>
      <w:r>
        <w:rPr>
          <w:color w:val="555555"/>
          <w:sz w:val="17"/>
        </w:rPr>
        <w:t xml:space="preserve">Zitiervorschlag: § 2 StipGDV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