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StipG — Ausschluss von Doppelförderung</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Ein Stipendium nach diesem Gesetz wird nicht vergeben, wenn der oder die Studierende eine begabungs- und leistungsabhängige materielle Förderung durch eine der in § 1 Absatz 3 genannten Maßnahmen oder Einrichtungen oder durch eine sonstige inländische oder ausländische Einrichtung erhält. Dies gilt nicht, wenn die Summe dieser Förderung je Semester, für das die Förderung bewilligt wurde, einen Monatsdurchschnitt von 30 Euro unterschreitet.</w:t>
      </w:r>
    </w:p>
    <w:p>
      <w:r>
        <w:t xml:space="preserve">(2) Um Doppelförderungen zu vermeiden, führt das Bundesministerium für Bildung und Forschung Stichproben durch. Zu diesem Zweck kann das Bundesministerium für Bildung und Forschung bei den Hochschulen Name, Vorname, Geburtsdatum, Adresse und Hochschulort der Personen erheben, die ein Stipendium nach diesem Gesetz erhalten; es kann diese Daten speichern und mit den Daten der in § 1 Absatz 3 Satz 2 genannten und sonstigen in- und ausländischen Einrichtungen abgleichen. Die Hochschulen sind zur Übermittlung der Daten verpflichtet. Die erhobenen Daten sind nach der Durchführung der Stichprobe zu vernichten.</w:t>
      </w:r>
    </w:p>
    <w:p>
      <w:r>
        <w:rPr>
          <w:color w:val="555555"/>
          <w:sz w:val="17"/>
        </w:rPr>
        <w:t xml:space="preserve">Zitiervorschlag: § 4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