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StipG — Verordnungsermächtigung</w:t>
      </w:r>
    </w:p>
    <w:p>
      <w:r>
        <w:rPr>
          <w:color w:val="555555"/>
          <w:sz w:val="18"/>
        </w:rPr>
        <w:t xml:space="preserve">Stipendienprogramm-Gesetz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wird ermächtigt, durch Rechtsverordnung mit Zustimmung des Bundesrats Vorschriften zu erlassen über</w:t>
      </w:r>
    </w:p>
    <w:p>
      <w:pPr>
        <w:ind w:left="420"/>
      </w:pPr>
      <w:r>
        <w:t xml:space="preserve">1. Einzelheiten zu den Bewerbungs- und Auswahlverfahren und zu den Maßnahmen der Eignungs- und Leistungsüberprüfung nach § 2,</w:t>
      </w:r>
    </w:p>
    <w:p>
      <w:pPr>
        <w:ind w:left="420"/>
      </w:pPr>
      <w:r>
        <w:t xml:space="preserve">2. Einzelheiten zu den Auswahlkriterien nach § 3,</w:t>
      </w:r>
    </w:p>
    <w:p>
      <w:pPr>
        <w:ind w:left="420"/>
      </w:pPr>
      <w:r>
        <w:t xml:space="preserve">3. Einzelheiten zur Durchführung des Datenabgleichs nach § 4 Absatz 2,</w:t>
      </w:r>
    </w:p>
    <w:p>
      <w:pPr>
        <w:ind w:left="420"/>
      </w:pPr>
      <w:r>
        <w:t xml:space="preserve">4. die Zahlweise,</w:t>
      </w:r>
    </w:p>
    <w:p>
      <w:pPr>
        <w:ind w:left="420"/>
      </w:pPr>
      <w:r>
        <w:t xml:space="preserve">5. Einzelheiten zum Bewilligungszeitraum, zur Förderungsdauer und zur Förderungshöchstdauer nach § 6,</w:t>
      </w:r>
    </w:p>
    <w:p>
      <w:pPr>
        <w:ind w:left="420"/>
      </w:pPr>
      <w:r>
        <w:t xml:space="preserve">6. Einzelheiten zu den Mitwirkungspflichten nach § 10,</w:t>
      </w:r>
    </w:p>
    <w:p>
      <w:pPr>
        <w:ind w:left="420"/>
      </w:pPr>
      <w:r>
        <w:t xml:space="preserve">7. Einzelheiten zur Aufbringung der Mittel,</w:t>
      </w:r>
    </w:p>
    <w:p>
      <w:pPr>
        <w:ind w:left="420"/>
      </w:pPr>
      <w:r>
        <w:t xml:space="preserve">8. Einzelheiten zu den Aufgaben und zur Zusammensetzung eines Beirats nach § 12,</w:t>
      </w:r>
    </w:p>
    <w:p>
      <w:pPr>
        <w:ind w:left="420"/>
      </w:pPr>
      <w:r>
        <w:t xml:space="preserve">9. die Bereitstellung von zentraler Information und Beratung,</w:t>
      </w:r>
    </w:p>
    <w:p>
      <w:pPr>
        <w:ind w:left="420"/>
      </w:pPr>
      <w:r>
        <w:t xml:space="preserve">10. Einzelheiten zu den Erhebungsmerkmalen und zum Meldeverfahren für die Statistik nach § 13.</w:t>
      </w:r>
    </w:p>
    <w:p>
      <w:r>
        <w:t xml:space="preserve">(2) Das Bundesministerium für Bildung und Forschung wird ermächtigt, im Einvernehmen mit dem Bundesministerium der Finanzen ohne Zustimmung des Bundesrates die Einzelheiten zur Erreichung der Höchstgrenze nach § 11 Absatz 4 in einer Rechtsverordnung festzulegen.</w:t>
      </w:r>
    </w:p>
    <w:p>
      <w:r>
        <w:rPr>
          <w:color w:val="555555"/>
          <w:sz w:val="17"/>
        </w:rPr>
        <w:t xml:space="preserve">Zitiervorschlag: § 14 StipG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https://recht.nulegal.eu/gesetze/StipG/14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