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StimmRMV</w:t>
      </w:r>
    </w:p>
    <w:p>
      <w:r>
        <w:rPr>
          <w:color w:val="555555"/>
          <w:sz w:val="18"/>
        </w:rPr>
        <w:t xml:space="preserve">Stimmrechtsmitteilungsverordnung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 Absatz 5 Satz 1, des § 38 Absatz 5 Satz 1 und des § 39 Absatz 2 Satz 1 des Wertpapierhandelsgesetzes, von denen § 33 Absatz 5 Satz 1 zuletzt durch Artikel 3 Nummer 34 Buchstabe c des Gesetzes vom 24. Juni 2017 (BGBl. I S. 1693), § 38 Absatz 5 Satz 1 zuletzt durch Artikel 3 Nummer 39 des Gesetzes vom 24. Juni 2017 (BGBl. I S. 1693) und § 39 Absatz 2 Satz 1 zuletzt durch Artikel 3 Nummer 40 des Gesetzes vom 24. Juni 2017 (BGBl. I S. 1693) geändert worden ist, jeweils in Verbindung mit § 1 Nummer 1 der Verordnung zur Übertragung von Befugnissen zum Erlass von Rechtsverordnungen auf die Bundesanstalt für Finanzdienstleistungsaufsicht, der zuletzt durch Artikel 1 der Verordnung vom 25. Januar 2018 (BGBl. I S. 184)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StimmRMV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https://recht.nulegal.eu/gesetze/StimmRMV/eingangsformel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