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StimmRMV — Elektronische Übermittlung einer Mitteilung an die Bundesanstalt</w:t>
      </w:r>
    </w:p>
    <w:p>
      <w:r>
        <w:rPr>
          <w:color w:val="555555"/>
          <w:sz w:val="18"/>
        </w:rPr>
        <w:t xml:space="preserve">Stimmrechtsmitteilungsverordnung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Eine elektronische Übermittlung der Mitteilung an die Bundesanstalt hat ausschließlich unter Nutzung des dafür vorgesehenen Fachverfahrens „Stimmrechtsmitteilungen (§§ 33 ff. WpHG)“ auf der Melde- und Veröffentlichungsplattform der Bundesanstalt (MVP)[1] nach den näheren Bestimmungen gemäß § 5 zu erfolgen.</w:t>
      </w:r>
    </w:p>
    <w:p>
      <w:r>
        <w:t xml:space="preserve">(2) Im Fall einer technischen Störung der MVP, die eine elektronische Übermittlung der Mitteilung nach Absatz 1 unmöglich macht, hat die Übermittlung der Mitteilung an die Bundesanstalt fristwahrend schriftlich im Original oder per Telefax zu erfolgen.</w:t>
      </w:r>
    </w:p>
    <w:p>
      <w:r>
        <w:t xml:space="preserve">1 Amtlicher Hinweis: Im Internet abrufbar unter www.bafin.de in der Rubrik „Die BaFin » Service » MVP Portal“.</w:t>
      </w:r>
    </w:p>
    <w:p>
      <w:r>
        <w:rPr>
          <w:color w:val="555555"/>
          <w:sz w:val="17"/>
        </w:rPr>
        <w:t xml:space="preserve">Zitiervorschlag: § 4 StimmRMV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https://recht.nulegal.eu/gesetze/StimmRMV/4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