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StimmRMV — Anwendungsbereich</w:t>
      </w:r>
    </w:p>
    <w:p>
      <w:r>
        <w:rPr>
          <w:color w:val="555555"/>
          <w:sz w:val="18"/>
        </w:rPr>
        <w:t xml:space="preserve">Stimmrechtsmitteilungsverordnung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auf eine Mitteilung nach § 33 Absatz 1 und 2, § 38 Absatz 1 oder § 39 Absatz 1 des Wertpapierhandelsgesetzes (Mitteilung) gegenüber der Bundesanstalt für Finanzdienstleistungsaufsicht (Bundesanstalt) und gegenüber dem Emittenten. Die Bestimmungen der Wertpapierhandelsanzeigeverordnung bleiben unberührt.</w:t>
      </w:r>
    </w:p>
    <w:p>
      <w:r>
        <w:rPr>
          <w:color w:val="555555"/>
          <w:sz w:val="17"/>
        </w:rPr>
        <w:t xml:space="preserve">Zitiervorschlag: § 1 StimmRMV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