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StiftPKG — Präsident, Präsidentin</w:t>
      </w:r>
    </w:p>
    <w:p>
      <w:r>
        <w:rPr>
          <w:color w:val="555555"/>
          <w:sz w:val="18"/>
        </w:rPr>
        <w:t xml:space="preserve">Gesetz über die Stiftung Preußischer Kulturbesitz</w:t>
      </w:r>
    </w:p>
    <w:p>
      <w:r>
        <w:rPr>
          <w:color w:val="555555"/>
          <w:sz w:val="18"/>
        </w:rPr>
        <w:t xml:space="preserve">Stand: 01.12.2025 (konsolidierte Textfassung, kein amtliches Inkrafttretensdatum)</w:t>
      </w:r>
    </w:p>
    <w:p>
      <w:r>
        <w:t xml:space="preserve">(1) Der Präsident oder die Präsidentin wird vom Stiftungsrat zeitlich befristet berufen. Wiederholte Berufungen sind zulässig.</w:t>
      </w:r>
    </w:p>
    <w:p>
      <w:r>
        <w:t xml:space="preserve">(2) Er oder sie ist für die in der Satzung näher bezeichneten Angelegenheiten sowie für alle ihm oder ihr durch Beschluss des Stiftungsrats oder Beschluss des Vorstands übertragenen Aufgaben zuständig.</w:t>
      </w:r>
    </w:p>
    <w:p>
      <w:r>
        <w:t xml:space="preserve">(3) In personalrechtlichen sowie besonders eilbedürftigen Angelegenheiten ist der Präsident oder die Präsidentin alleine entscheidungs- und vertretungsbefugt.</w:t>
      </w:r>
    </w:p>
    <w:p>
      <w:r>
        <w:t xml:space="preserve">(4) Die Leitung der für Verwaltung und Dienstleistung zuständigen Organisationseinheit ist die ständige Vertretung des Präsidenten oder der Präsidentin, soweit die Satzung nichts anderes bestimmt.</w:t>
      </w:r>
    </w:p>
    <w:p>
      <w:r>
        <w:t xml:space="preserve">(5) Das Nähere regelt die Satzung.</w:t>
      </w:r>
    </w:p>
    <w:p>
      <w:r>
        <w:rPr>
          <w:color w:val="555555"/>
          <w:sz w:val="17"/>
        </w:rPr>
        <w:t xml:space="preserve">Zitiervorschlag: § 9 StiftPKG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https://recht.nulegal.eu/gesetze/StiftPKG/9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