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StiftPKG — Inkrafttreten, Außerkrafttreten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Dieses Gesetz tritt am 1. Dezember 2025 in Kraft.</w:t>
      </w:r>
    </w:p>
    <w:p>
      <w:r>
        <w:t xml:space="preserve">(2) Gleichzeitig tritt das Gesetz zur Errichtung einer Stiftung „Preußischer Kulturbesitz“ und zur Übertragung von Vermögenswerten des ehemaligen Landes Preußen auf die Stiftung in der im Bundesgesetzblatt Teil III, Gliederungsnummer 224-3, veröffentlichten bereinigten Fassung, das zuletzt durch Artikel 15 Absatz 59 des Gesetzes vom 5. Februar 2009 (BGBl. I S. 160) geändert worden ist, außer Kraft.</w:t>
      </w:r>
    </w:p>
    <w:p>
      <w:r>
        <w:rPr>
          <w:color w:val="555555"/>
          <w:sz w:val="17"/>
        </w:rPr>
        <w:t xml:space="preserve">Zitiervorschlag: § 20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