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StiftPKG — Benutzungsordnungen, eigenwirtschaftliche Tätigkeit</w:t>
      </w:r>
    </w:p>
    <w:p>
      <w:r>
        <w:rPr>
          <w:color w:val="555555"/>
          <w:sz w:val="18"/>
        </w:rPr>
        <w:t xml:space="preserve">Gesetz über die Stiftung Preußischer Kulturbesitz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(1) Die Stiftung erlässt nach näherer Bestimmung in der Satzung Gebühren- und Benutzungsordnungen, in denen die Gebühren und Auslagen für den Besuch und die Benutzung ihrer Einrichtungen sowie Veranstaltungen festgelegt sind.</w:t>
      </w:r>
    </w:p>
    <w:p>
      <w:r>
        <w:t xml:space="preserve">(2) Sie ist berechtigt, in begründeten Ausnahmefällen mit Zustimmung der Mehrheit der Stimmen des Stiftungsrats im Rahmen des Stiftungszwecks jeweils eigenwirtschaftlich in Form von Gesellschaften mit eigener Rechtspersönlichkeit tätig zu werden.</w:t>
      </w:r>
    </w:p>
    <w:p>
      <w:r>
        <w:rPr>
          <w:color w:val="555555"/>
          <w:sz w:val="17"/>
        </w:rPr>
        <w:t xml:space="preserve">Zitiervorschlag: § 15 StiftPKG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https://recht.nulegal.eu/gesetze/StiftPKG/15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