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StiftPKG — Aufsicht</w:t>
      </w:r>
    </w:p>
    <w:p>
      <w:r>
        <w:rPr>
          <w:color w:val="555555"/>
          <w:sz w:val="18"/>
        </w:rPr>
        <w:t xml:space="preserve">Gesetz über die Stiftung Preußischer Kulturbesitz</w:t>
      </w:r>
    </w:p>
    <w:p>
      <w:r>
        <w:rPr>
          <w:color w:val="555555"/>
          <w:sz w:val="18"/>
        </w:rPr>
        <w:t xml:space="preserve">Stand: 01.12.2025 (konsolidierte Textfassung, kein amtliches Inkrafttretensdatum)</w:t>
      </w:r>
    </w:p>
    <w:p>
      <w:r>
        <w:t xml:space="preserve">Die Stiftung untersteht der Rechtsaufsicht der für Kultur und Medien zuständigen obersten Bundesbehörde.</w:t>
      </w:r>
    </w:p>
    <w:p>
      <w:r>
        <w:rPr>
          <w:color w:val="555555"/>
          <w:sz w:val="17"/>
        </w:rPr>
        <w:t xml:space="preserve">Zitiervorschlag: § 11 StiftPKG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https://recht.nulegal.eu/gesetze/StiftPKG/11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