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StiftKStBegV</w:t>
      </w:r>
    </w:p>
    <w:p>
      <w:r>
        <w:rPr>
          <w:color w:val="555555"/>
          <w:sz w:val="18"/>
        </w:rPr>
        <w:t xml:space="preserve">Verordnung über die Steuerbegünstigung von Stiftungen, die an die Stelle von Familienfideikommissen getreten sind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Reichsminister der Finanzen</w:t>
      </w:r>
    </w:p>
    <w:p>
      <w:r>
        <w:rPr>
          <w:color w:val="555555"/>
          <w:sz w:val="17"/>
        </w:rPr>
        <w:t xml:space="preserve">Zitiervorschlag: Schlußformel StiftKStBegV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https://recht.nulegal.eu/gesetze/StiftKStBegV/schlussformel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