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StiftKStBegV</w:t>
      </w:r>
    </w:p>
    <w:p>
      <w:r>
        <w:rPr>
          <w:color w:val="555555"/>
          <w:sz w:val="18"/>
        </w:rPr>
        <w:t xml:space="preserve">Verordnung über die Steuerbegünstigung von Stiftungen, die an die Stelle von Familienfideikommissen getreten sind</w:t>
      </w:r>
    </w:p>
    <w:p>
      <w:r>
        <w:rPr>
          <w:color w:val="555555"/>
          <w:sz w:val="18"/>
        </w:rPr>
        <w:t xml:space="preserve">Stand: 10.06.2019 (konsolidierte Textfassung, kein amtliches Inkrafttretensdatum)</w:t>
      </w:r>
    </w:p>
    <w:p>
      <w:r>
        <w:t xml:space="preserve">Ist eine Vermögensmasse, die zu einem standesherrlichen Hausvermögen, einem Familienfideikommiß, einem Lehen oder einem Erbstammgut gehört hat, ganz oder zum Teil nach den für die Auflösung geltenden Vorschriften in eine Stiftung umgewandelt worden, so bleiben bei der Veranlagung einer solchen Stiftung zur Körperschaftsteuer die Einkünfte außer Ansatz, die an die nach der Stiftungssatzung bezugsberechtigten, unbeschränkt einkommensteuerpflichtigen Familienmitglieder verteilt werden.</w:t>
      </w:r>
    </w:p>
    <w:p>
      <w:r>
        <w:rPr>
          <w:color w:val="555555"/>
          <w:sz w:val="17"/>
        </w:rPr>
        <w:t xml:space="preserve">Zitiervorschlag: § 1 StiftKStBegV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https://recht.nulegal.eu/gesetze/StiftKStBegV/1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