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StiftGBbg (Brandenburg) — Anerkennung, Zuständige Behörde</w:t>
      </w:r>
    </w:p>
    <w:p>
      <w:r>
        <w:rPr>
          <w:color w:val="555555"/>
          <w:sz w:val="18"/>
        </w:rPr>
        <w:t xml:space="preserve">Stiftungsgesetz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Inneres zuständige Ministerium ist die für die Anerkennung der Stiftung zuständige Behörde im Sinne von § 80 Absatz 2 und § 81 Absatz 4 des Bürgerlichen Gesetzbuches.</w:t>
      </w:r>
    </w:p>
    <w:p>
      <w:r>
        <w:t xml:space="preserve">(2) Die Entscheidung über die Anerkennung einer Stiftung als rechtsfähig erfolgt schriftlich oder durch elektronischen Schriftformersatz.</w:t>
      </w:r>
    </w:p>
    <w:p>
      <w:r>
        <w:t xml:space="preserve">(3) Die Anerkennung einer Stiftung als kirchliche Stiftung bedarf der Zustimmung der von der Kirche bestimmten kirchlichen Behörde.</w:t>
      </w:r>
    </w:p>
    <w:p>
      <w:r>
        <w:rPr>
          <w:color w:val="555555"/>
          <w:sz w:val="17"/>
        </w:rPr>
        <w:t xml:space="preserve">Zitiervorschlag: § 4 StiftGBbg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https://recht.nulegal.eu/gesetze/StiftGBbg/4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