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StiftGBbg (Brandenburg) — Geltungsbereich</w:t>
      </w:r>
    </w:p>
    <w:p>
      <w:r>
        <w:rPr>
          <w:color w:val="555555"/>
          <w:sz w:val="18"/>
        </w:rPr>
        <w:t xml:space="preserve">Stiftungsgesetz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Dieses Gesetz gilt für die rechtsfähigen Stiftungen bürgerlichen Rechts im Sinne des § 80 des Bürgerlichen Gesetzbuches, die nach ihrer Satzung ihren Sitz im Land Brandenburg haben oder für die ein solcher Antrag auf Anerkennung der Rechtsfähigkeit nach § 80 Absatz 2 des Bürgerlichen Gesetzbuches gestellt wird.</w:t>
      </w:r>
    </w:p>
    <w:p>
      <w:r>
        <w:rPr>
          <w:color w:val="555555"/>
          <w:sz w:val="17"/>
        </w:rPr>
        <w:t xml:space="preserve">Zitiervorschlag: § 1 StiftGBbg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https://recht.nulegal.eu/gesetze/StiftGBbg/1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