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StiftG-EUV (Brandenburg) — Beschäftigungssicherung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Bei Auflösung der Stiftung werden die Arbeitnehmerinnen und Arbeitnehmer sowie die Auszubildenden, die zum Zeitpunkt des Übergangs auf die Stiftung beim Land beschäftigt waren und deren Arbeits- oder Ausbildungsverhältnis ohne Unterbrechung fortbesteht, unter Wahrung der bei der Stiftung erreichten Lohn- und Vergütungsgruppe sowie der Beschäftigungszeit wieder beim Land beschäftigt.</w:t>
      </w:r>
    </w:p>
    <w:p>
      <w:r>
        <w:t xml:space="preserve">(2) Für die Beamtinnen und Beamten der Stiftung, die zum Zeitpunkt des Übergangs auf die Stiftung beim Land beschäftigt waren und deren Beamtenverhältnis ohne Unterbrechung fortbesteht, gilt Absatz 1 entsprechend. Für den Fall der Auflösung der Stiftung übernimmt das Land die Versorgungsleistungen nach § 2 des Beamtenversorgungsgesetzes für die Beamtinnen und Beamten der Stiftung.</w:t>
      </w:r>
    </w:p>
    <w:p>
      <w:r>
        <w:rPr>
          <w:color w:val="555555"/>
          <w:sz w:val="17"/>
        </w:rPr>
        <w:t xml:space="preserve">Zitiervorschlag: § 16 StiftG-EUV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