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StiftG-EUV (Brandenburg) — Beamtenversorgung</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Stiftung hat</w:t>
      </w:r>
    </w:p>
    <w:p>
      <w:r>
        <w:t xml:space="preserve">die Versorgungsleistungen nach § 2 des Beamtenversorgungsgesetzes einschließlich der Zahlung der Emeritenbezüge, die Zuführungen an das Sondervermögen „Versorgungsrücklage des Landes Brandenburg“ und die Ausgleichszahlungen nach § 107 b des Beamtenversorgungsgesetzes zu erbringen sowie</w:t>
      </w:r>
    </w:p>
    <w:p>
      <w:r>
        <w:t xml:space="preserve">die Nachversicherung in der gesetzlichen Rentenversicherung für ausgeschiedene Beamtinnen und Beamte sowie sonstige Beschäftigte, denen durch Gewährleistungsentscheidung eine Anwartschaft auf Versorgung bei verminderter Erwerbsfähigkeit und im Alter sowie auf Hinterbliebenenversorgung gewährleistet worden ist und die unversorgt aus der Beschäftigung ausscheiden, vorzunehmen und die Nachversicherungsbeiträge für die gesetzliche Rentenversicherung, die andere Dienstherren von der Stiftung beanspruchen können, zu erstatten.</w:t>
      </w:r>
    </w:p>
    <w:p>
      <w:r>
        <w:rPr>
          <w:color w:val="555555"/>
          <w:sz w:val="17"/>
        </w:rPr>
        <w:t xml:space="preserve">Zitiervorschlag: § 15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