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StiftG NRW (Nordrhein-Westfalen) — Unterrichtung und Prüfung</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Stiftungsvorstand ist verpflichtet, der Stiftungsbehörde innerhalb von zwölf Monaten nach Ablauf des Geschäftsjahres eine Jahresabrechnung mit einer Vermögensübersicht und einen Bericht über die Erfüllung der Stiftungszwecke zur Prüfung vorzulegen. Die Stiftungsbehörde kann eine kürzere Vorlagefrist festlegen, insbesondere wenn vorangegangene Jahresabrechnungen beanstandet wurden oder die Stiftung wiederholt ihrer Verpflichtung nach Satz 1 verspätet nachgekommen ist.</w:t>
      </w:r>
    </w:p>
    <w:p>
      <w:r>
        <w:t xml:space="preserve">(2) Wird die Stiftung durch eine Behörde, einen Prüfungsverband, die Prüfungsstelle eines Sparkassen- und Giroverbands, eine Wirtschaftsprüferin, einen Wirtschaftsprüfer oder eine Wirtschaftsprüfungsgesellschaft, eine vereidigte Buchprüferin, einen vereidigten Buchprüfer oder eine Buchprüfungsgesellschaft oder vergleichbare Stellen geprüft und erstreckt sich die Prüfung auch auf die Erhaltung des Grundstockvermögens und die satzungsmäßige Verwendung der Stiftungsmittel, soll die Stiftungsbehörde von einer eigenen Prüfung absehen. Die Stiftungsbehörde kann eine Prüfung nach Satz 1 verlangen.</w:t>
      </w:r>
    </w:p>
    <w:p>
      <w:r>
        <w:t xml:space="preserve">(3) Liegen der Stiftungsbehörde Anhaltspunkte dafür vor, dass bei der Verwaltung der Stiftung gegen gesetzliche Bestimmungen oder die Satzung verstoßen wurde, kann sie hierzu Auskunft und die Vorlage von Unterlagen zur Einsichtnahme verlangen. Im Rahmen einer ordnungsgemäßen Aufsicht kann sie im erforderlichen Umfang eine weitergehende Prüfung vornehmen oder auf Kosten der Stiftung vornehmen lassen.</w:t>
      </w:r>
    </w:p>
    <w:p>
      <w:r>
        <w:rPr>
          <w:color w:val="555555"/>
          <w:sz w:val="17"/>
        </w:rPr>
        <w:t xml:space="preserve">Zitiervorschlag: § 6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