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StiftG NRW (Nordrhein-Westfalen) — Anzuwendende Vorschriften</w:t>
      </w:r>
    </w:p>
    <w:p>
      <w:r>
        <w:rPr>
          <w:color w:val="555555"/>
          <w:sz w:val="18"/>
        </w:rPr>
        <w:t xml:space="preserve">Stiftungsgesetz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kirchliche Stiftungen gelten die Bestimmungen dieses Gesetzes, soweit sich nicht aus den Absätzen 2 bis 5 etwas anderes ergibt.</w:t>
      </w:r>
    </w:p>
    <w:p>
      <w:r>
        <w:t xml:space="preserve">(2) Für die Statusklärung in Zweifelsfällen gilt § 3 mit der Maßgabe, dass vor einer Entscheidung die Kirche zu hören ist.</w:t>
      </w:r>
    </w:p>
    <w:p>
      <w:r>
        <w:t xml:space="preserve">(3) Die kirchlichen Stiftungen unterliegen kirchlicher Stiftungsaufsicht. Sie ist im Sinne des § 83 Absatz 2 des Bürgerlichen Gesetzbuches auszuüben. Die kirchlichen Behörden sind die nach Landesrecht zuständigen Behörden im Sinne des § 84c des Bürgerlichen Gesetzbuches. Die Bestimmungen des Abschnitts 2 finden auf kirchliche Stiftungen keine Anwendung; insoweit obliegt es den Kirchen, Art und Umfang der erforderlichen Regelungen in eigener Verantwortlichkeit zu treffen. Die Bestimmungen, die hierzu in kirchlichen Stiftungsordnungen erlassen werden, werden auch im Gesetz- und Verordnungsblatt für das Land Nordrhein-Westfalen veröffentlicht.</w:t>
      </w:r>
    </w:p>
    <w:p>
      <w:r>
        <w:t xml:space="preserve">(4) Die Anerkennung als kirchliche Stiftung nach § 80 Absatz 2 des Bürgerlichen Gesetzbuches sowie Genehmigungen und Entscheidungen gemäß den §§ 85a, 86b, 87 Absatz 3 und § 87a des Bürgerlichen Gesetzbuches bedürfen der Zustimmung der zuständigen kirchlichen Behörde.</w:t>
      </w:r>
    </w:p>
    <w:p>
      <w:r>
        <w:t xml:space="preserve">(5) Die Eintragung kirchlicher Stiftungen in das Stiftungsverzeichnis nach § 10 erfolgt nur im Einvernehmen mit der jeweiligen Stiftung und der zuständigen kirchlichen Behörde. Auf Grundlage ihrer Bestimmungen stellt die zuständige kirchliche Behörde den kirchlichen Stiftungen eine Vertretungsbescheinigung im Sinne des § 10 Absatz 4 Satz 2 aus.</w:t>
      </w:r>
    </w:p>
    <w:p>
      <w:r>
        <w:t xml:space="preserve">(6) Bei Auflösung oder Aufhebung einer kirchlichen Stiftung fällt das Vermögen für den Fall, dass es an einer Bestimmung zur Anfallberechtigung durch oder aufgrund der Satzung fehlt, abweichend von § 87c Absatz 1 Satz 3 des Bürgerlichen Gesetzbuches an die Kirche, die die Stiftung beaufsichtigt hat.</w:t>
      </w:r>
    </w:p>
    <w:p>
      <w:r>
        <w:t xml:space="preserve">(7) Die Absätze 1 bis 6 gelten für die den kirchlichen Stiftungen gleichgestellten Stiftungen entsprechend.</w:t>
      </w:r>
    </w:p>
    <w:p>
      <w:r>
        <w:t xml:space="preserve">Abschnitt 5</w:t>
      </w:r>
    </w:p>
    <w:p>
      <w:r>
        <w:t xml:space="preserve">Übergangs- und Schlussbestimmungen</w:t>
      </w:r>
    </w:p>
    <w:p>
      <w:r>
        <w:rPr>
          <w:color w:val="555555"/>
          <w:sz w:val="17"/>
        </w:rPr>
        <w:t xml:space="preserve">Zitiervorschlag: § 12 StiftG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https://recht.nulegal.eu/gesetze/StiftG%20NRW/12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