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StiftFinG — Anerkennung bereits geförderter Stiftungen</w:t>
      </w:r>
    </w:p>
    <w:p>
      <w:r>
        <w:rPr>
          <w:color w:val="555555"/>
          <w:sz w:val="18"/>
        </w:rPr>
        <w:t xml:space="preserve">Stiftungsfinanzierungsgesetz</w:t>
      </w:r>
    </w:p>
    <w:p>
      <w:r>
        <w:rPr>
          <w:color w:val="555555"/>
          <w:sz w:val="18"/>
        </w:rPr>
        <w:t xml:space="preserve">Stand: 23.12.2023 (konsolidierte Textfassung, kein amtliches Inkrafttretensdatum)</w:t>
      </w:r>
    </w:p>
    <w:p>
      <w:r>
        <w:t xml:space="preserve">Als politische Stiftungen nach § 1 Absatz 1 anerkannt gelten zum Zeitpunkt des Inkrafttretens dieses Gesetzes die Friedrich-Ebert-Stiftung e. V. für die nahestehende Partei „Sozialdemokratische Partei Deutschlands“, die Konrad-Adenauer-Stiftung e. V. für die nahestehende Partei „Christlich Demokratische Union Deutschlands“, die Hanns-Seidel-Stiftung e. V. für die nahestehende Partei „Christlich-Soziale Union in Bayern“, die Friedrich-Naumann-Stiftung für die Freiheit für die nahestehende Partei „Freie Demokratische Partei“, die Heinrich-Böll-Stiftung e. V. für die nahestehende Partei „BÜNDNIS 90/DIE GRÜNEN“ und die Rosa-Luxemburg-Stiftung Gesellschaftsanalyse und politische Bildung e. V. für die nahestehende Partei „DIE LINKE“.</w:t>
      </w:r>
    </w:p>
    <w:p>
      <w:r>
        <w:rPr>
          <w:color w:val="555555"/>
          <w:sz w:val="17"/>
        </w:rPr>
        <w:t xml:space="preserve">Zitiervorschlag: § 9 StiftFinG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https://recht.nulegal.eu/gesetze/StiftFinG/9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