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StiftFinG — Verarbeitung personenbezogener Daten</w:t>
      </w:r>
    </w:p>
    <w:p>
      <w:r>
        <w:rPr>
          <w:color w:val="555555"/>
          <w:sz w:val="18"/>
        </w:rPr>
        <w:t xml:space="preserve">Stiftungsfinanzierungsgesetz</w:t>
      </w:r>
    </w:p>
    <w:p>
      <w:r>
        <w:rPr>
          <w:color w:val="555555"/>
          <w:sz w:val="18"/>
        </w:rPr>
        <w:t xml:space="preserve">Stand: 23.12.2023 (konsolidierte Textfassung, kein amtliches Inkrafttretensdatum)</w:t>
      </w:r>
    </w:p>
    <w:p>
      <w:r>
        <w:t xml:space="preserve">(1) Die nach § 7 Absatz 1 zuständigen obersten Bundesbehörden oder nachgeordneten Bundesoberbehörden sowie die nach § 7 Absatz 2 zuständige Behörde dürfen personenbezogene Daten verarbeiten, soweit dies für die Wahrnehmung ihrer Aufgaben nach diesem Gesetz erforderlich ist. Von der Verarbeitung nach Satz 1 erfasst ist insbesondere auch die gegenseitige Übermittlung von personenbezogenen Daten der in Satz 1 genannten Stellen sowie Erkundigungen durch die in § 7 Absatz 2 genannte Stelle bei den Verfassungsschutzbehörden des Bundes und der Länder, ob bezüglich geförderter oder antragstellender politischer Stiftungen oder mit diesen im Zusammenhang stehender Personen Tatsachen bekannt sind, welche für Feststellungen nach diesem Gesetz relevant sein können. Für andere Zwecke als zur Durchführung dieses Gesetzes dürfen nach Satz 1 erhobene personenbezogene Daten nicht verarbeitet werden.</w:t>
      </w:r>
    </w:p>
    <w:p>
      <w:r>
        <w:t xml:space="preserve">(2) Abweichend von Artikel 9 Absatz 1 der Verordnung (EU) 2016/679 des Europäischen Parlaments und des Rates vom 27. April 2016 zum Schutz natürlicher Personen bei der Verarbeitung personenbezogener Daten, zum freien Datenverkehr und zur Aufhebung der Richtlinie 95/46/EG (Datenschutz-Grundverordnung) (ABl. L 119 vom 4.5.2016, S. 1; L 314 vom 22.11.2016, S. 72; L 127 vom 23.5.2018, S. 2; L 74 vom 4.3.2021, S. 35) ist auch die Verarbeitung besonderer Kategorien personenbezogener Daten durch die in Absatz 1 genannten Stellen zulässig, wenn dies zur Erfüllung ihrer Aufgaben erforderlich ist. In diesem Fall hat die jeweilige Stelle spezifische und angemessene Maßnahmen zur Wahrung der Interessen der betroffenen Person vorzusehen; § 22 Absatz 2 Satz 2 des Bundesdatenschutzgesetzes ist entsprechend anzuwenden.</w:t>
      </w:r>
    </w:p>
    <w:p>
      <w:r>
        <w:rPr>
          <w:color w:val="555555"/>
          <w:sz w:val="17"/>
        </w:rPr>
        <w:t xml:space="preserve">Zitiervorschlag: § 8 StiftFinG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https://recht.nulegal.eu/gesetze/StiftFinG/8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