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StiftFinG — Anwendung des Verwaltungsverfahrensgesetzes; Minderung</w:t>
      </w:r>
    </w:p>
    <w:p>
      <w:r>
        <w:rPr>
          <w:color w:val="555555"/>
          <w:sz w:val="18"/>
        </w:rPr>
        <w:t xml:space="preserve">Stiftungsfinanzierungsgesetz</w:t>
      </w:r>
    </w:p>
    <w:p>
      <w:r>
        <w:rPr>
          <w:color w:val="555555"/>
          <w:sz w:val="18"/>
        </w:rPr>
        <w:t xml:space="preserve">Stand: 23.12.2023 (konsolidierte Textfassung, kein amtliches Inkrafttretensdatum)</w:t>
      </w:r>
    </w:p>
    <w:p>
      <w:r>
        <w:t xml:space="preserve">(1) Rücknahme und Widerruf von Bescheiden über Zuwendungen auf Grund eines Antrags nach § 3 Absatz 1 Satz 1 richten sich nach den §§ 48 bis 49a des Verwaltungsverfahrensgesetzes.</w:t>
      </w:r>
    </w:p>
    <w:p>
      <w:r>
        <w:t xml:space="preserve">(2) Wird ein Bescheid über Zuwendungen auf Grund eines Antrags nach § 3 Absatz 1 Satz 1 teilweise nach Absatz 1 zurückgenommen oder widerrufen, weil einzelne Maßnahmen einer politischen Stiftung die Anforderungen an die Förderfähigkeit nach § 2 Absatz 4 oder 5 nicht erfüllen, dieser Umstand jedoch nicht zur Feststellung einer Beendigung der Förderung nach § 4 Absatz 1 Nummer 2 führt, ist für das auf die Bestandskraft des Bescheides nach Absatz 1 folgende Haushaltsjahr zudem die Förderung der betroffenen politischen Stiftung um die Höhe des widerrufenen oder zurückgenommenen Betrags zu mindern. Die Höhe der Förderung anderer politischer Stiftungen bleibt unberührt.</w:t>
      </w:r>
    </w:p>
    <w:p>
      <w:r>
        <w:rPr>
          <w:color w:val="555555"/>
          <w:sz w:val="17"/>
        </w:rPr>
        <w:t xml:space="preserve">Zitiervorschlag: § 5 StiftFinG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https://recht.nulegal.eu/gesetze/StiftFinG/5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