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StiftFinG — Ende der Förderung</w:t>
      </w:r>
    </w:p>
    <w:p>
      <w:r>
        <w:rPr>
          <w:color w:val="555555"/>
          <w:sz w:val="18"/>
        </w:rPr>
        <w:t xml:space="preserve">Stiftungsfinanzierungsgesetz</w:t>
      </w:r>
    </w:p>
    <w:p>
      <w:r>
        <w:rPr>
          <w:color w:val="555555"/>
          <w:sz w:val="18"/>
        </w:rPr>
        <w:t xml:space="preserve">Stand: 23.12.2023 (konsolidierte Textfassung, kein amtliches Inkrafttretensdatum)</w:t>
      </w:r>
    </w:p>
    <w:p>
      <w:r>
        <w:t xml:space="preserve">(1) Die Förderung einer politischen Stiftung ist spätestens mit Ablauf des laufenden Haushaltsjahres zu beenden, wenn nach Beginn der Förderung</w:t>
      </w:r>
    </w:p>
    <w:p>
      <w:pPr>
        <w:ind w:left="420"/>
      </w:pPr>
      <w:r>
        <w:t xml:space="preserve">1. festgestellt wurde, dass die Anerkennung nach § 1 Absatz 1 entfallen oder die Voraussetzung des § 2 Absatz 2 nicht mehr gegeben ist,</w:t>
      </w:r>
    </w:p>
    <w:p>
      <w:pPr>
        <w:ind w:left="420"/>
      </w:pPr>
      <w:r>
        <w:t xml:space="preserve">2. festgestellt wurde, dass die Voraussetzungen des § 2 Absatz 4 oder 5 entfallen sind,</w:t>
      </w:r>
    </w:p>
    <w:p>
      <w:pPr>
        <w:ind w:left="420"/>
      </w:pPr>
      <w:r>
        <w:t xml:space="preserve">3. die Voraussetzung des § 2 Absatz 3 entfallen ist,</w:t>
      </w:r>
    </w:p>
    <w:p>
      <w:pPr>
        <w:ind w:left="420"/>
      </w:pPr>
      <w:r>
        <w:t xml:space="preserve">4. gegen die politische Stiftung ein vollziehbares Vereinsverbot nach § 3 des Gesetzes zur Regelung des öffentlichen Vereinsrechts erlassen worden ist oder</w:t>
      </w:r>
    </w:p>
    <w:p>
      <w:pPr>
        <w:ind w:left="420"/>
      </w:pPr>
      <w:r>
        <w:t xml:space="preserve">5. die politische Stiftung nach § 87a Absatz 2 Nummer 2 des Bürgerlichen Gesetzbuchs wegen Gefährdung des Gemeinwohls aufgehoben worden ist.</w:t>
      </w:r>
    </w:p>
    <w:p>
      <w:r>
        <w:t xml:space="preserve">(2) Endet die Förderung einer politischen Stiftung, weil ein Beendigungsgrund nach Absatz 1 Nummer 2 festgestellt wurde, ist für die betroffene politische Stiftung eine erneute Förderung für die Dauer der laufenden Legislaturperiode ausgeschlossen.</w:t>
      </w:r>
    </w:p>
    <w:p>
      <w:r>
        <w:t xml:space="preserve">(3) Im Falle der Abwicklung einer politischen Stiftung kann im Haushaltsgesetz eine weitere Förderung für die Dauer bis zu einem Jahr nach Ende des letzten Jahres der Förderung nach Absatz 1 vorgesehen werden, wenn und soweit dies zur wirtschaftlichen Auflösung oder zur Abmilderung sozialer Härten geboten ist. Dies gilt nicht, wenn ein Beendigungsgrund nach Absatz 1 Nummer 2 bis 5 vorliegt.</w:t>
      </w:r>
    </w:p>
    <w:p>
      <w:r>
        <w:rPr>
          <w:color w:val="555555"/>
          <w:sz w:val="17"/>
        </w:rPr>
        <w:t xml:space="preserve">Zitiervorschlag: § 4 StiftFinG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https://recht.nulegal.eu/gesetze/StiftFinG/4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