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StiftBTG — Stiftungsgeschäft</w:t>
      </w:r>
    </w:p>
    <w:p>
      <w:r>
        <w:rPr>
          <w:color w:val="555555"/>
          <w:sz w:val="18"/>
        </w:rPr>
        <w:t xml:space="preserve">Stiftungsgesetz</w:t>
      </w:r>
    </w:p>
    <w:p>
      <w:r>
        <w:rPr>
          <w:color w:val="555555"/>
          <w:sz w:val="18"/>
        </w:rPr>
        <w:t xml:space="preserve">Stand: 10.06.2019 (konsolidierte Textfassung, kein amtliches Inkrafttretensdatum)</w:t>
      </w:r>
    </w:p>
    <w:p>
      <w:r>
        <w:t xml:space="preserve">(1) Das Stiftungsgeschäft unter Lebenden bedarf der schriftlichen Form.</w:t>
      </w:r>
    </w:p>
    <w:p>
      <w:r>
        <w:t xml:space="preserve">(2) Bis zur Erteilung der Genehmigung ist der Stifter zum Widerruf berechtigt. Ist die Genehmigung bei der zuständigen Behörde nachgesucht, so kann der Widerruf nur dieser gegenüber erklärt werden. Der Erbe des Stifters ist zum Widerrufe nicht berechtigt, wenn der Stifter das Gesuch bei der zuständigen Behörde eingereicht oder im Falle der gerichtlichen oder notariellen Beurkundung des Stiftungsgeschäfts das Gericht oder den Notar bei oder nach der Beurkundung mit der Einreichung betraut hat.</w:t>
      </w:r>
    </w:p>
    <w:p>
      <w:r>
        <w:rPr>
          <w:color w:val="555555"/>
          <w:sz w:val="17"/>
        </w:rPr>
        <w:t xml:space="preserve">Zitiervorschlag: § 5 StiftBTG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https://recht.nulegal.eu/gesetze/StiftBTG/5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