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StiftBTG</w:t>
      </w:r>
    </w:p>
    <w:p>
      <w:r>
        <w:rPr>
          <w:color w:val="555555"/>
          <w:sz w:val="18"/>
        </w:rPr>
        <w:t xml:space="preserve">Stiftungsgesetz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24. September 1990 in Kraft.</w:t>
      </w:r>
    </w:p>
    <w:p>
      <w:r>
        <w:t xml:space="preserve">(2) § 9 des Einführungsgesetzes zum Zivilgesetzbuch vom 19. Juni 1975 (GBl. I Nr. 27 S. 517) wird aufgehoben.</w:t>
      </w:r>
    </w:p>
    <w:p>
      <w:r>
        <w:rPr>
          <w:color w:val="555555"/>
          <w:sz w:val="17"/>
        </w:rPr>
        <w:t xml:space="preserve">Zitiervorschlag: § 32 StiftBTG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https://recht.nulegal.eu/gesetze/StiftBTG/32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