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StiftBTG</w:t>
      </w:r>
    </w:p>
    <w:p>
      <w:r>
        <w:rPr>
          <w:color w:val="555555"/>
          <w:sz w:val="18"/>
        </w:rPr>
        <w:t xml:space="preserve">Stiftungsgesetz</w:t>
      </w:r>
    </w:p>
    <w:p>
      <w:r>
        <w:rPr>
          <w:color w:val="555555"/>
          <w:sz w:val="18"/>
        </w:rPr>
        <w:t xml:space="preserve">Stand: 10.06.2019 (konsolidierte Textfassung, kein amtliches Inkrafttretensdatum)</w:t>
      </w:r>
    </w:p>
    <w:p>
      <w:r>
        <w:t xml:space="preserve">(1) Bestehende Stiftungen haben der zuständigen Stiftungsbehörde innerhalb eines Jahres nach Inkrafttreten dieses Gesetzes Name, Sitz, Zweck, Vertretungsberechtigung und Zusammensetzung der Organe und, soweit möglich, den Tag der Erteilung der Genehmigung und die erteilende Stelle mitzuteilen sowie ihre Satzung vorzulegen.</w:t>
      </w:r>
    </w:p>
    <w:p>
      <w:r>
        <w:t xml:space="preserve">(2) Stiftungen, die keine Satzung oder eine den zwingenden Vorschriften dieses Gesetzes nicht entsprechende Satzung haben, sind verpflichtet, der zuständigen Stiftungsbehörde innerhalb der in Absatz 1 genannten Frist eine Satzung vorzulegen, die mit den zwingenden Vorschriften dieses Gesetzes übereinstimmt. Zuständig sind hierfür die in der Satzung oder dem Stiftungsgeschäft für den Erlaß oder die Änderung der Satzung bestimmten Organe. Fehlt eine solche Bestimmung, ist das oberste Beschlußorgan der Stiftung zuständig. Die Satzung bedarf der Genehmigung der Stiftungsbehörde. Die Genehmigung gilt als erteilt, wenn die Stiftungsbehörde die Satzung nicht innerhalb von sechs Monaten, nachdem ihr die Satzung vorgelegt wurde, beanstandet.</w:t>
      </w:r>
    </w:p>
    <w:p>
      <w:r>
        <w:rPr>
          <w:color w:val="555555"/>
          <w:sz w:val="17"/>
        </w:rPr>
        <w:t xml:space="preserve">Zitiervorschlag: § 30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