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StiftBTG</w:t>
      </w:r>
    </w:p>
    <w:p>
      <w:r>
        <w:rPr>
          <w:color w:val="555555"/>
          <w:sz w:val="18"/>
        </w:rPr>
        <w:t xml:space="preserve">Stiftungsgesetz</w:t>
      </w:r>
    </w:p>
    <w:p>
      <w:r>
        <w:rPr>
          <w:color w:val="555555"/>
          <w:sz w:val="18"/>
        </w:rPr>
        <w:t xml:space="preserve">Stand: 10.06.2019 (konsolidierte Textfassung, kein amtliches Inkrafttretensdatum)</w:t>
      </w:r>
    </w:p>
    <w:p>
      <w:r>
        <w:t xml:space="preserve">(1) Kirchliche Stiftungen im Sinne dieses Gesetzes sind Stiftungen, die ausschließlich oder überwiegend dazu bestimmt sind, kirchliche Aufgaben zu erfüllen und von einer Kirche errichtet oder organisatorisch mit einer Kirche verbunden oder in der Stiftungssatzung der kirchlichen Aufsicht unterstellt oder deren Zwecke nur sinnvoll in Verbindung mit einer Kirche zu erfüllen sind.</w:t>
      </w:r>
    </w:p>
    <w:p>
      <w:r>
        <w:t xml:space="preserve">(2) Die Bestimmungen über kirchliche Stiftungen gelten entsprechend für Stiftungen der jüdischen Religionsgemeinschaft und anderer Religionsgemeinschaften, die Körperschaften des öffentlichen Rechts sind.</w:t>
      </w:r>
    </w:p>
    <w:p>
      <w:r>
        <w:rPr>
          <w:color w:val="555555"/>
          <w:sz w:val="17"/>
        </w:rPr>
        <w:t xml:space="preserve">Zitiervorschlag: § 26 StiftBTG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https://recht.nulegal.eu/gesetze/StiftBTG/26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