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StiftBTG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Kommunale Stiftungen sind solche, deren Zweck im Rahmen der jeweiligen kommunalen Aufgaben liegt und nicht wesentlich über den räumlichen Bereich der Gebietskörperschaft hinauswirkt.</w:t>
      </w:r>
    </w:p>
    <w:p>
      <w:r>
        <w:t xml:space="preserve">(2) Die Vertretung und Verwaltung der kommunalen Stiftungen obliegt, soweit nicht durch Satzung anderes bestimmt ist, den für die Vertretung und Verwaltung der Kommunen zuständigen Organen.</w:t>
      </w:r>
    </w:p>
    <w:p>
      <w:r>
        <w:t xml:space="preserve">(3) Die Stiftungsaufsicht wird durch die kommunale Aufsichtsbehörde wahrgenommen, soweit durch die Landesregierung nichts anderes bestimmt wird.</w:t>
      </w:r>
    </w:p>
    <w:p>
      <w:r>
        <w:rPr>
          <w:color w:val="555555"/>
          <w:sz w:val="17"/>
        </w:rPr>
        <w:t xml:space="preserve">Zitiervorschlag: § 25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