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StiftBTG — Vermögensanfall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für den Fall des Erlöschens einer Stiftung in der Satzung weder ein Anfallberechtigter bestimmt noch einem Stiftungsorgan die Bestimmung des Anfallberechtigten übertragen, so fällt das Vermögen</w:t>
      </w:r>
    </w:p>
    <w:p>
      <w:pPr>
        <w:ind w:left="420"/>
      </w:pPr>
      <w:r>
        <w:t xml:space="preserve">1. einer kommunalen Stiftung an die kommunale Körperschaft,</w:t>
      </w:r>
    </w:p>
    <w:p>
      <w:pPr>
        <w:ind w:left="420"/>
      </w:pPr>
      <w:r>
        <w:t xml:space="preserve">2. einer kirchlichen Stiftung an die aufsichtsführende Kirche,</w:t>
      </w:r>
    </w:p>
    <w:p>
      <w:pPr>
        <w:ind w:left="420"/>
      </w:pPr>
      <w:r>
        <w:t xml:space="preserve">3. aller anderen Stiftungen an das Land.</w:t>
      </w:r>
    </w:p>
    <w:p>
      <w:r>
        <w:t xml:space="preserve">(2) Die Anfallberechtigten haben das Vermögen tunlichst in einer den Zwecken der Stiftung entsprechenden Weise zu verwenden.</w:t>
      </w:r>
    </w:p>
    <w:p>
      <w:r>
        <w:t xml:space="preserve">(3) Fällt das Vermögen nicht an ein staatliches Organ, findet eine Liquidation in entsprechender Anwendung der Bestimmungen über das Vereinsrecht statt.</w:t>
      </w:r>
    </w:p>
    <w:p>
      <w:r>
        <w:rPr>
          <w:color w:val="555555"/>
          <w:sz w:val="17"/>
        </w:rPr>
        <w:t xml:space="preserve">Zitiervorschlag: § 23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