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StiftBTG — Bekanntgabe der Entscheidung und Widerruf</w:t>
      </w:r>
    </w:p>
    <w:p>
      <w:r>
        <w:rPr>
          <w:color w:val="555555"/>
          <w:sz w:val="18"/>
        </w:rPr>
        <w:t xml:space="preserve">Stiftungsgesetz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Entscheidung ist dem Antragsteller schriftlich mitzuteilen. Die Versagung der Genehmigung ist zu begründen. Die Genehmigung, der Zeitpunkt der Entstehung der Stiftung und der Stiftungszweck sind in das Stiftungsverzeichnis einzutragen.</w:t>
      </w:r>
    </w:p>
    <w:p>
      <w:r>
        <w:t xml:space="preserve">(2) Die Genehmigung ist zu widerrufen, wenn das Stiftungsgeschäft unwirksam ist oder mit Erfolg angefochten wird. Der Widerruf ist dem Antragsteller schriftlich mitzuteilen und öffentlich bekanntzumachen.</w:t>
      </w:r>
    </w:p>
    <w:p>
      <w:r>
        <w:rPr>
          <w:color w:val="555555"/>
          <w:sz w:val="17"/>
        </w:rPr>
        <w:t xml:space="preserve">Zitiervorschlag: § 17 StiftBTG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https://recht.nulegal.eu/gesetze/StiftBTG/17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