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StiftBTG — Genehmigung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einer Stiftung wird durch die Stiftungsbehörde erteilt.</w:t>
      </w:r>
    </w:p>
    <w:p>
      <w:r>
        <w:t xml:space="preserve">(2) Die Genehmigung darf nicht unter Auflagen oder Bedingungen erteilt werden.</w:t>
      </w:r>
    </w:p>
    <w:p>
      <w:r>
        <w:t xml:space="preserve">(3) Eine Ausfertigung der Stiftungsurkunde, der Satzung und Genehmigung sind bei der Stiftungsbehörde zu hinterlegen.</w:t>
      </w:r>
    </w:p>
    <w:p>
      <w:r>
        <w:rPr>
          <w:color w:val="555555"/>
          <w:sz w:val="17"/>
        </w:rPr>
        <w:t xml:space="preserve">Zitiervorschlag: § 15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