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StiftBTG — Vermögensverwaltung</w:t>
      </w:r>
    </w:p>
    <w:p>
      <w:r>
        <w:rPr>
          <w:color w:val="555555"/>
          <w:sz w:val="18"/>
        </w:rPr>
        <w:t xml:space="preserve">Stiftungsgesetz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Stiftung ist nach den Gesetzen, dem Stiftungsgeschäft und der Stiftungssatzung sparsam und wirtschaftlich zu verwalten. Die Verwaltung dient der dauernden und nachhaltigen Erfüllung des Stiftungszwecks.</w:t>
      </w:r>
    </w:p>
    <w:p>
      <w:r>
        <w:t xml:space="preserve">(2) Das Stiftungsvermögen ist in seinem Bestand zu erhalten; es sei denn, daß die Satzung eine Ausnahme zuläßt und der Stiftungszweck nicht anders zu verwirklichen ist. Das Stiftungsvermögen ist von anderem Vermögen getrennt zu halten.</w:t>
      </w:r>
    </w:p>
    <w:p>
      <w:r>
        <w:t xml:space="preserve">(3) Bei der Verwaltung von Stiftungen sind die Regeln ordentlicher Wirtschaftsführung einzuhalten.</w:t>
      </w:r>
    </w:p>
    <w:p>
      <w:r>
        <w:rPr>
          <w:color w:val="555555"/>
          <w:sz w:val="17"/>
        </w:rPr>
        <w:t xml:space="preserve">Zitiervorschlag: § 14 StiftBTG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https://recht.nulegal.eu/gesetze/StiftBTG/14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