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StiftBTG — Stiftungsvermögen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eine Stiftung können alle Arten von Vermögenswerten und Gegenstände eingebracht werden. Insbesondere können finanzielle Mittel, Rechte an beweglichen und unbeweglichen Sachen, Forderungen, Kunstwerke und Beteiligungen an Wirtschaftsunternehmen Stiftungseigentum darstellen.</w:t>
      </w:r>
    </w:p>
    <w:p>
      <w:r>
        <w:t xml:space="preserve">(2) Die Erträgnisse der Stiftungen können sich aus den Anlagen des Stiftungsvermögens, daneben aus Spenden, Zuwendungen sowie aus Leistungsentgelten ergeben.</w:t>
      </w:r>
    </w:p>
    <w:p>
      <w:r>
        <w:rPr>
          <w:color w:val="555555"/>
          <w:sz w:val="17"/>
        </w:rPr>
        <w:t xml:space="preserve">Zitiervorschlag: § 13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