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StiftBTG — Haftung</w:t>
      </w:r>
    </w:p>
    <w:p>
      <w:r>
        <w:rPr>
          <w:color w:val="555555"/>
          <w:sz w:val="18"/>
        </w:rPr>
        <w:t xml:space="preserve">Stiftungsgesetz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Verletzen Mitglieder des Vorstandes oder eines anderen Organs der Stiftung schuldhaft ihre Obliegenheiten, so sind sie der Stiftung zum Ersatz des daraus entstehenden Schadens als Gesamtschuldner verpflichtet.</w:t>
      </w:r>
    </w:p>
    <w:p>
      <w:r>
        <w:t xml:space="preserve">(2) Mitglieder von Organen der Stiftung, die ohne Entgelt tätig sind, haften nur bei vorsätzlicher oder grob fahrlässiger Verletzung ihrer Pflichten.</w:t>
      </w:r>
    </w:p>
    <w:p>
      <w:r>
        <w:rPr>
          <w:color w:val="555555"/>
          <w:sz w:val="17"/>
        </w:rPr>
        <w:t xml:space="preserve">Zitiervorschlag: § 12 StiftBTG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https://recht.nulegal.eu/gesetze/StiftBTG/12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