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StiftBTG — Vorstand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muß einen Vorstand haben. Der Vorstand kann aus mehreren Personen bestehen.</w:t>
      </w:r>
    </w:p>
    <w:p>
      <w:r>
        <w:t xml:space="preserve">(2) Der Vorstand vertritt die Stiftung gerichtlich und außergerichtlich; er hat die Stellung eines gesetzlichen Vertreters. Der Umfang seiner Vertretungsmacht kann durch die Satzung mit Wirkung gegen Dritte beschränkt werden.</w:t>
      </w:r>
    </w:p>
    <w:p>
      <w:r>
        <w:t xml:space="preserve">(3) Für die Geschäftsführung des Vorstandes gelten die Bestimmungen des Vereinsrechts entsprechend.</w:t>
      </w:r>
    </w:p>
    <w:p>
      <w:r>
        <w:rPr>
          <w:color w:val="555555"/>
          <w:sz w:val="17"/>
        </w:rPr>
        <w:t xml:space="preserve">Zitiervorschlag: § 11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