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StichprobenV</w:t>
      </w:r>
    </w:p>
    <w:p>
      <w:r>
        <w:rPr>
          <w:color w:val="555555"/>
          <w:sz w:val="18"/>
        </w:rPr>
        <w:t xml:space="preserve">Stichprobenverordnung 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Absatz 2 Satz 2 des Zensusgesetzes 2011 vom 8. Juli 2009 (BGBl. I S. 1781) verordnet die Bundesregierung:</w:t>
      </w:r>
    </w:p>
    <w:p>
      <w:r>
        <w:rPr>
          <w:color w:val="555555"/>
          <w:sz w:val="17"/>
        </w:rPr>
        <w:t xml:space="preserve">Zitiervorschlag: Eingangsformel StichprobenV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https://recht.nulegal.eu/gesetze/StichprobenV/eingangsformel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