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StichprobenV — Fragebogen</w:t>
      </w:r>
    </w:p>
    <w:p>
      <w:r>
        <w:rPr>
          <w:color w:val="555555"/>
          <w:sz w:val="18"/>
        </w:rPr>
        <w:t xml:space="preserve">Stichprobenverordnung 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Haushaltsstichprobe wird mit Hilfe eines einheitlichen Fragebogens erhoben, den das Statistische Bundesamt in Zusammenarbeit mit den statistischen Ämtern der Länder erstellt.</w:t>
      </w:r>
    </w:p>
    <w:p>
      <w:r>
        <w:rPr>
          <w:color w:val="555555"/>
          <w:sz w:val="17"/>
        </w:rPr>
        <w:t xml:space="preserve">Zitiervorschlag: § 4 StichprobenV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https://recht.nulegal.eu/gesetze/StichprobenV/4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