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StichprobenV — Zweck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festgelegten einheitlichen Regelungen zum Stichprobenverfahren und zum Stichprobenumfang für die nach § 7 des Zensusgesetzes 2011 durchzuführende Haushaltsstichprobe stellen sicher, dass der registergestützte Zensus 2011 in einem nachvollziehbaren, wissenschaftlichen Standards entsprechenden Verfahren verlässliche statistische Daten zu den in § 1 Absatz 3 des Zensusgesetzes 2011 genannten Zwecken liefert.</w:t>
      </w:r>
    </w:p>
    <w:p>
      <w:r>
        <w:t xml:space="preserve">(2) Die Verfahrensvorgaben und die methodisch-statistischen Festlegungen in den §§ 2 bis 4 dienen dazu, dass die Qualitätsvorgaben des § 7 Absatz 1 Satz 2 Nummer 1 und 2 des Zensusgesetzes 2011 sowohl bei der Ermittlung der amtlichen Einwohnerzahl als auch bei den Zensusmerkmalen eingehalten werden, die nicht aus Verwaltungsregistern gewonnen werden.</w:t>
      </w:r>
    </w:p>
    <w:p>
      <w:r>
        <w:rPr>
          <w:color w:val="555555"/>
          <w:sz w:val="17"/>
        </w:rPr>
        <w:t xml:space="preserve">Zitiervorschlag: § 1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